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media/image5.png" ContentType="image/png"/>
  <Override PartName="/word/media/image4.png" ContentType="image/png"/>
  <Override PartName="/word/media/image3.jpeg" ContentType="image/jpeg"/>
  <Override PartName="/word/media/image1.png" ContentType="image/png"/>
  <Override PartName="/word/media/image2.png" ContentType="image/png"/>
  <Override PartName="/word/footer2.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4"/>
          <w:szCs w:val="28"/>
        </w:rPr>
      </w:pPr>
      <w:r>
        <w:rPr>
          <w:sz w:val="24"/>
          <w:szCs w:val="28"/>
        </w:rPr>
        <w:t xml:space="preserve">Районный отдел образования </w:t>
      </w:r>
    </w:p>
    <w:p>
      <w:pPr>
        <w:pStyle w:val="Normal"/>
        <w:jc w:val="center"/>
        <w:rPr>
          <w:sz w:val="24"/>
          <w:szCs w:val="28"/>
        </w:rPr>
      </w:pPr>
      <w:r>
        <w:rPr>
          <w:sz w:val="24"/>
          <w:szCs w:val="28"/>
        </w:rPr>
        <w:t xml:space="preserve">местной администрации </w:t>
      </w:r>
      <w:bookmarkStart w:id="0" w:name="_GoBack"/>
      <w:bookmarkEnd w:id="0"/>
      <w:r>
        <w:rPr>
          <w:sz w:val="24"/>
          <w:szCs w:val="28"/>
        </w:rPr>
        <w:t>Кваркенский район</w:t>
      </w:r>
    </w:p>
    <w:p>
      <w:pPr>
        <w:pStyle w:val="Normal"/>
        <w:jc w:val="center"/>
        <w:rPr>
          <w:sz w:val="24"/>
          <w:szCs w:val="28"/>
        </w:rPr>
      </w:pPr>
      <w:r>
        <w:rPr>
          <w:sz w:val="24"/>
          <w:szCs w:val="28"/>
        </w:rPr>
      </w:r>
    </w:p>
    <w:p>
      <w:pPr>
        <w:pStyle w:val="Normal"/>
        <w:jc w:val="center"/>
        <w:rPr>
          <w:b/>
          <w:b/>
          <w:sz w:val="28"/>
          <w:szCs w:val="28"/>
        </w:rPr>
      </w:pPr>
      <w:r>
        <w:rPr>
          <w:b/>
          <w:sz w:val="28"/>
          <w:szCs w:val="28"/>
        </w:rPr>
        <w:t>Справка</w:t>
      </w:r>
    </w:p>
    <w:p>
      <w:pPr>
        <w:pStyle w:val="Normal"/>
        <w:jc w:val="center"/>
        <w:rPr>
          <w:b/>
          <w:b/>
          <w:sz w:val="28"/>
          <w:szCs w:val="28"/>
        </w:rPr>
      </w:pPr>
      <w:r>
        <w:rPr>
          <w:b/>
          <w:sz w:val="28"/>
          <w:szCs w:val="28"/>
        </w:rPr>
        <w:t xml:space="preserve">по итогам проведения мониторинга реализации образовательных программ </w:t>
      </w:r>
    </w:p>
    <w:p>
      <w:pPr>
        <w:pStyle w:val="Normal"/>
        <w:jc w:val="center"/>
        <w:rPr>
          <w:b/>
          <w:b/>
          <w:sz w:val="28"/>
          <w:szCs w:val="28"/>
        </w:rPr>
      </w:pPr>
      <w:r>
        <w:rPr>
          <w:b/>
          <w:sz w:val="28"/>
          <w:szCs w:val="28"/>
        </w:rPr>
        <w:t xml:space="preserve">с использованием ресурса центра образования «Точка роста» 2021 года </w:t>
      </w:r>
    </w:p>
    <w:p>
      <w:pPr>
        <w:pStyle w:val="Normal"/>
        <w:jc w:val="center"/>
        <w:rPr/>
      </w:pPr>
      <w:r>
        <w:rPr>
          <w:b/>
          <w:sz w:val="28"/>
          <w:szCs w:val="28"/>
        </w:rPr>
        <w:t xml:space="preserve">на базе МАОУ «Уральская СОШ» </w:t>
      </w:r>
    </w:p>
    <w:p>
      <w:pPr>
        <w:pStyle w:val="Normal"/>
        <w:ind w:firstLine="709"/>
        <w:rPr>
          <w:sz w:val="28"/>
          <w:szCs w:val="28"/>
        </w:rPr>
      </w:pPr>
      <w:r>
        <w:rPr>
          <w:sz w:val="28"/>
          <w:szCs w:val="28"/>
        </w:rPr>
      </w:r>
    </w:p>
    <w:p>
      <w:pPr>
        <w:pStyle w:val="Normal"/>
        <w:ind w:firstLine="851"/>
        <w:jc w:val="both"/>
        <w:rPr/>
      </w:pPr>
      <w:r>
        <w:rPr>
          <w:b/>
          <w:i/>
          <w:sz w:val="28"/>
          <w:szCs w:val="28"/>
        </w:rPr>
        <w:t xml:space="preserve">Тема: </w:t>
      </w:r>
      <w:r>
        <w:rPr>
          <w:sz w:val="28"/>
          <w:szCs w:val="28"/>
        </w:rPr>
        <w:t>Реализация образовательных программ с использованием ресурса центра образования «Точка роста» 2021 года на базе МАОУ «Уральская СОШ».</w:t>
      </w:r>
    </w:p>
    <w:p>
      <w:pPr>
        <w:pStyle w:val="Normal"/>
        <w:ind w:firstLine="851"/>
        <w:jc w:val="both"/>
        <w:rPr/>
      </w:pPr>
      <w:r>
        <w:rPr>
          <w:b/>
          <w:i/>
          <w:sz w:val="28"/>
          <w:szCs w:val="28"/>
        </w:rPr>
        <w:t xml:space="preserve">Цель: </w:t>
      </w:r>
      <w:r>
        <w:rPr>
          <w:sz w:val="28"/>
          <w:szCs w:val="28"/>
        </w:rPr>
        <w:t>изучить эффективность использования ресурса центра образования «Точка роста» 2021 года на базе МАОУ «Уральская СОШ» в части реализации образовательных программ.</w:t>
      </w:r>
    </w:p>
    <w:p>
      <w:pPr>
        <w:pStyle w:val="Normal"/>
        <w:ind w:firstLine="851"/>
        <w:jc w:val="both"/>
        <w:rPr>
          <w:sz w:val="28"/>
          <w:szCs w:val="28"/>
        </w:rPr>
      </w:pPr>
      <w:r>
        <w:rPr>
          <w:b/>
          <w:i/>
          <w:sz w:val="28"/>
          <w:szCs w:val="28"/>
        </w:rPr>
        <w:t xml:space="preserve">Сроки: </w:t>
      </w:r>
      <w:r>
        <w:rPr>
          <w:sz w:val="28"/>
          <w:szCs w:val="28"/>
        </w:rPr>
        <w:t>с 23.12.2021г. по 14.01.2022г.</w:t>
      </w:r>
    </w:p>
    <w:p>
      <w:pPr>
        <w:pStyle w:val="Normal"/>
        <w:ind w:firstLine="851"/>
        <w:jc w:val="both"/>
        <w:rPr/>
      </w:pPr>
      <w:r>
        <w:rPr>
          <w:b/>
          <w:i/>
          <w:sz w:val="28"/>
          <w:szCs w:val="28"/>
        </w:rPr>
        <w:t xml:space="preserve">Основание: </w:t>
      </w:r>
      <w:r>
        <w:rPr>
          <w:sz w:val="28"/>
          <w:szCs w:val="28"/>
        </w:rPr>
        <w:t xml:space="preserve">письмо министерства образования Оренбургской области от 20.12.2021г. № 01-23/9137 «О мониторинге реализации образовательных программ с использованием ресурсов центров образования «Точка роста» </w:t>
      </w:r>
      <w:r>
        <w:rPr>
          <w:b w:val="false"/>
          <w:bCs w:val="false"/>
          <w:color w:val="000000"/>
          <w:sz w:val="28"/>
          <w:szCs w:val="28"/>
        </w:rPr>
        <w:t xml:space="preserve"> 2021 г.</w:t>
      </w:r>
    </w:p>
    <w:p>
      <w:pPr>
        <w:pStyle w:val="Normal"/>
        <w:ind w:firstLine="851"/>
        <w:jc w:val="both"/>
        <w:rPr>
          <w:sz w:val="28"/>
          <w:szCs w:val="28"/>
        </w:rPr>
      </w:pPr>
      <w:r>
        <w:rPr>
          <w:b/>
          <w:i/>
          <w:sz w:val="28"/>
          <w:szCs w:val="28"/>
        </w:rPr>
        <w:t xml:space="preserve">Вид контроля: </w:t>
      </w:r>
      <w:r>
        <w:rPr>
          <w:sz w:val="28"/>
          <w:szCs w:val="28"/>
        </w:rPr>
        <w:t>предметный, персональный (руководитель ОО, руководитель центра образования «Точка роста»).</w:t>
      </w:r>
    </w:p>
    <w:p>
      <w:pPr>
        <w:pStyle w:val="Normal"/>
        <w:ind w:firstLine="851"/>
        <w:jc w:val="both"/>
        <w:rPr>
          <w:i/>
          <w:i/>
          <w:sz w:val="28"/>
          <w:szCs w:val="28"/>
        </w:rPr>
      </w:pPr>
      <w:r>
        <w:rPr>
          <w:b/>
          <w:i/>
          <w:sz w:val="28"/>
          <w:szCs w:val="28"/>
        </w:rPr>
        <w:t xml:space="preserve">Методы контроля: </w:t>
      </w:r>
    </w:p>
    <w:p>
      <w:pPr>
        <w:pStyle w:val="Normal"/>
        <w:ind w:firstLine="851"/>
        <w:jc w:val="both"/>
        <w:rPr>
          <w:sz w:val="28"/>
          <w:szCs w:val="28"/>
        </w:rPr>
      </w:pPr>
      <w:r>
        <w:rPr>
          <w:sz w:val="28"/>
          <w:szCs w:val="28"/>
        </w:rPr>
        <w:t>1. Изучение документации:</w:t>
      </w:r>
    </w:p>
    <w:p>
      <w:pPr>
        <w:pStyle w:val="Normal"/>
        <w:shd w:val="clear" w:color="auto" w:fill="FFFFFF" w:themeFill="background1"/>
        <w:ind w:firstLine="567"/>
        <w:jc w:val="both"/>
        <w:rPr>
          <w:sz w:val="28"/>
          <w:szCs w:val="28"/>
        </w:rPr>
      </w:pPr>
      <w:r>
        <w:rPr>
          <w:sz w:val="28"/>
          <w:szCs w:val="28"/>
        </w:rPr>
        <w:t>- расписание уроков, занятий по внеклассной работы и дополнительному образованию в центра образования «Точка роста»;  загруженности помещений центра «Точка роста в течение учебной недели; вовлеченность в организацию мероприятий в выходные дни и каникулярное время;</w:t>
      </w:r>
    </w:p>
    <w:p>
      <w:pPr>
        <w:pStyle w:val="Normal"/>
        <w:shd w:val="clear" w:color="auto" w:fill="FFFFFF" w:themeFill="background1"/>
        <w:ind w:firstLine="567"/>
        <w:jc w:val="both"/>
        <w:rPr>
          <w:sz w:val="28"/>
          <w:szCs w:val="28"/>
        </w:rPr>
      </w:pPr>
      <w:r>
        <w:rPr>
          <w:sz w:val="28"/>
          <w:szCs w:val="28"/>
        </w:rPr>
        <w:t>- документы по зачислению в центр образования, журналы посещений, договора о сетевом взаимодействии, отчёты о работе центра образования «Точка роста»;</w:t>
      </w:r>
    </w:p>
    <w:p>
      <w:pPr>
        <w:pStyle w:val="Normal"/>
        <w:shd w:val="clear" w:color="auto" w:fill="FFFFFF" w:themeFill="background1"/>
        <w:ind w:firstLine="567"/>
        <w:jc w:val="both"/>
        <w:rPr/>
      </w:pPr>
      <w:r>
        <w:rPr>
          <w:sz w:val="28"/>
          <w:szCs w:val="28"/>
        </w:rPr>
        <w:t>- рабочие программы по предметам «Химия», «Биология»; «Физика»; рабочие программы курсов внеурочной работы и дополнительного образования.</w:t>
      </w:r>
    </w:p>
    <w:p>
      <w:pPr>
        <w:pStyle w:val="Normal"/>
        <w:ind w:firstLine="851"/>
        <w:jc w:val="both"/>
        <w:rPr/>
      </w:pPr>
      <w:r>
        <w:rPr>
          <w:sz w:val="28"/>
          <w:szCs w:val="28"/>
        </w:rPr>
        <w:t xml:space="preserve">2. Изучение документов, размещённых на сайте общеобразовательной организации в разделе «Центр образования «Точка роста». </w:t>
      </w:r>
    </w:p>
    <w:p>
      <w:pPr>
        <w:pStyle w:val="Normal"/>
        <w:ind w:firstLine="851"/>
        <w:jc w:val="both"/>
        <w:rPr>
          <w:sz w:val="28"/>
          <w:szCs w:val="28"/>
        </w:rPr>
      </w:pPr>
      <w:r>
        <w:rPr>
          <w:sz w:val="28"/>
          <w:szCs w:val="28"/>
        </w:rPr>
        <w:t>3. Беседа с руководителем ОО, руководителем центра «Точка роста».</w:t>
      </w:r>
    </w:p>
    <w:p>
      <w:pPr>
        <w:pStyle w:val="Normal"/>
        <w:jc w:val="both"/>
        <w:rPr>
          <w:sz w:val="28"/>
          <w:szCs w:val="28"/>
        </w:rPr>
      </w:pPr>
      <w:r>
        <w:rPr>
          <w:sz w:val="28"/>
          <w:szCs w:val="28"/>
        </w:rPr>
      </w:r>
    </w:p>
    <w:p>
      <w:pPr>
        <w:pStyle w:val="Normal"/>
        <w:ind w:firstLine="851"/>
        <w:jc w:val="both"/>
        <w:rPr/>
      </w:pPr>
      <w:r>
        <w:rPr>
          <w:sz w:val="28"/>
          <w:szCs w:val="28"/>
        </w:rPr>
        <w:t>Мониторинг реализации образовательных программ с использованием ресурсов центра «Точка роста» на базе муниципального автономного общеобразовательного учреждения «Уральская средняя общеобразовательная школа Кваркенского района Оренбургской области» осуществляла Суханова Л.В., заместитель начальника районного отдела образования местной администрации Кваркенского района, муниципальный координатор центров «Точка роста».</w:t>
      </w:r>
    </w:p>
    <w:p>
      <w:pPr>
        <w:pStyle w:val="Normal"/>
        <w:ind w:firstLine="851"/>
        <w:jc w:val="both"/>
        <w:rPr>
          <w:sz w:val="28"/>
          <w:szCs w:val="28"/>
        </w:rPr>
      </w:pPr>
      <w:r>
        <w:rPr>
          <w:sz w:val="28"/>
          <w:szCs w:val="28"/>
        </w:rPr>
        <w:t>В ходе проверки было установлено:</w:t>
      </w:r>
    </w:p>
    <w:p>
      <w:pPr>
        <w:pStyle w:val="ListParagraph"/>
        <w:numPr>
          <w:ilvl w:val="0"/>
          <w:numId w:val="1"/>
        </w:numPr>
        <w:ind w:left="0" w:firstLine="851"/>
        <w:jc w:val="both"/>
        <w:rPr/>
      </w:pPr>
      <w:r>
        <w:rPr>
          <w:sz w:val="28"/>
          <w:szCs w:val="28"/>
        </w:rPr>
        <w:t xml:space="preserve">МАОУ «Уральская СОШ» осуществляет образовательную деятельность на основании </w:t>
      </w:r>
    </w:p>
    <w:p>
      <w:pPr>
        <w:pStyle w:val="ListParagraph"/>
        <w:ind w:left="0" w:firstLine="851"/>
        <w:jc w:val="both"/>
        <w:rPr/>
      </w:pPr>
      <w:r>
        <w:rPr>
          <w:sz w:val="28"/>
          <w:szCs w:val="28"/>
        </w:rPr>
        <w:t>- лицензии 2015-5 (серия 56Л01 № 0003953), выданной министерством образования Оренбургской области на срок: бессрочно, по следующим уровням образования: дошкольное образование; начальное общее образование; основное общее образование; среднее общее образование; дополнительное образование детей и взрослых;</w:t>
      </w:r>
    </w:p>
    <w:p>
      <w:pPr>
        <w:pStyle w:val="ListParagraph"/>
        <w:ind w:left="0" w:firstLine="851"/>
        <w:jc w:val="both"/>
        <w:rPr/>
      </w:pPr>
      <w:r>
        <w:rPr>
          <w:sz w:val="28"/>
          <w:szCs w:val="28"/>
        </w:rPr>
        <w:t xml:space="preserve">- свидетельства о государственной аккредитации № 2489 от 15.06.2020г. (се 56А01  № 0004223), срок действия до 30.11.2024 </w:t>
      </w:r>
      <w:r>
        <w:rPr>
          <w:color w:val="000000"/>
          <w:sz w:val="28"/>
          <w:szCs w:val="28"/>
        </w:rPr>
        <w:t>г.</w:t>
      </w:r>
      <w:r>
        <w:rPr>
          <w:sz w:val="28"/>
          <w:szCs w:val="28"/>
        </w:rPr>
        <w:t xml:space="preserve"> </w:t>
      </w:r>
    </w:p>
    <w:p>
      <w:pPr>
        <w:pStyle w:val="ListParagraph"/>
        <w:ind w:left="0" w:firstLine="851"/>
        <w:jc w:val="both"/>
        <w:rPr/>
      </w:pPr>
      <w:r>
        <w:rPr>
          <w:sz w:val="28"/>
          <w:szCs w:val="28"/>
        </w:rPr>
        <w:t>2. На момент проверки в центре образования «Точка роста» на базе МАОУ «Уральская СОШ» созданы условия для реализации образовательных программ по учебным дисциплинам «Химия», «Биология», «Физика»:</w:t>
      </w:r>
    </w:p>
    <w:p>
      <w:pPr>
        <w:pStyle w:val="ListParagraph"/>
        <w:ind w:left="0" w:firstLine="851"/>
        <w:jc w:val="both"/>
        <w:rPr/>
      </w:pPr>
      <w:r>
        <w:rPr>
          <w:sz w:val="28"/>
          <w:szCs w:val="28"/>
        </w:rPr>
        <w:t>- оборудованы 2 учебных кабинета  («Химия и Биология», «Физика» и лаборантская;</w:t>
      </w:r>
    </w:p>
    <w:tbl>
      <w:tblPr>
        <w:tblStyle w:val="a6"/>
        <w:tblW w:w="10035" w:type="dxa"/>
        <w:jc w:val="left"/>
        <w:tblInd w:w="0" w:type="dxa"/>
        <w:tblCellMar>
          <w:top w:w="0" w:type="dxa"/>
          <w:left w:w="128" w:type="dxa"/>
          <w:bottom w:w="0" w:type="dxa"/>
          <w:right w:w="108" w:type="dxa"/>
        </w:tblCellMar>
        <w:tblLook w:noVBand="1" w:val="04a0" w:noHBand="0" w:lastColumn="0" w:firstColumn="1" w:lastRow="0" w:firstRow="1"/>
      </w:tblPr>
      <w:tblGrid>
        <w:gridCol w:w="4020"/>
        <w:gridCol w:w="1200"/>
        <w:gridCol w:w="4815"/>
      </w:tblGrid>
      <w:tr>
        <w:trPr/>
        <w:tc>
          <w:tcPr>
            <w:tcW w:w="4020" w:type="dxa"/>
            <w:tcBorders>
              <w:top w:val="nil"/>
              <w:left w:val="nil"/>
              <w:bottom w:val="nil"/>
              <w:right w:val="nil"/>
              <w:insideH w:val="nil"/>
              <w:insideV w:val="nil"/>
            </w:tcBorders>
            <w:shd w:fill="auto" w:val="clear"/>
          </w:tcPr>
          <w:p>
            <w:pPr>
              <w:pStyle w:val="ListParagraph"/>
              <w:ind w:left="0" w:hanging="0"/>
              <w:rPr>
                <w:sz w:val="28"/>
                <w:szCs w:val="28"/>
              </w:rPr>
            </w:pPr>
            <w:r>
              <w:rPr>
                <w:sz w:val="28"/>
                <w:szCs w:val="28"/>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2359025" cy="1769110"/>
                  <wp:effectExtent l="0" t="0" r="0" b="0"/>
                  <wp:wrapSquare wrapText="largest"/>
                  <wp:docPr id="1"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3" descr=""/>
                          <pic:cNvPicPr>
                            <a:picLocks noChangeAspect="1" noChangeArrowheads="1"/>
                          </pic:cNvPicPr>
                        </pic:nvPicPr>
                        <pic:blipFill>
                          <a:blip r:embed="rId2"/>
                          <a:stretch>
                            <a:fillRect/>
                          </a:stretch>
                        </pic:blipFill>
                        <pic:spPr bwMode="auto">
                          <a:xfrm>
                            <a:off x="0" y="0"/>
                            <a:ext cx="2359025" cy="1769110"/>
                          </a:xfrm>
                          <a:prstGeom prst="rect">
                            <a:avLst/>
                          </a:prstGeom>
                        </pic:spPr>
                      </pic:pic>
                    </a:graphicData>
                  </a:graphic>
                </wp:anchor>
              </w:drawing>
            </w:r>
          </w:p>
        </w:tc>
        <w:tc>
          <w:tcPr>
            <w:tcW w:w="1200" w:type="dxa"/>
            <w:tcBorders>
              <w:top w:val="nil"/>
              <w:left w:val="nil"/>
              <w:bottom w:val="nil"/>
              <w:right w:val="nil"/>
              <w:insideH w:val="nil"/>
              <w:insideV w:val="nil"/>
            </w:tcBorders>
            <w:shd w:fill="auto" w:val="clear"/>
          </w:tcPr>
          <w:p>
            <w:pPr>
              <w:pStyle w:val="ListParagraph"/>
              <w:ind w:left="0" w:hanging="0"/>
              <w:jc w:val="center"/>
              <w:rPr>
                <w:sz w:val="28"/>
                <w:szCs w:val="28"/>
              </w:rPr>
            </w:pPr>
            <w:r>
              <w:rPr>
                <w:sz w:val="28"/>
                <w:szCs w:val="28"/>
              </w:rPr>
              <w:drawing>
                <wp:anchor behindDoc="0" distT="0" distB="0" distL="0" distR="0" simplePos="0" locked="0" layoutInCell="1" allowOverlap="1" relativeHeight="9">
                  <wp:simplePos x="0" y="0"/>
                  <wp:positionH relativeFrom="column">
                    <wp:align>center</wp:align>
                  </wp:positionH>
                  <wp:positionV relativeFrom="paragraph">
                    <wp:posOffset>635</wp:posOffset>
                  </wp:positionV>
                  <wp:extent cx="962660" cy="1701165"/>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962660" cy="1701165"/>
                          </a:xfrm>
                          <a:prstGeom prst="rect">
                            <a:avLst/>
                          </a:prstGeom>
                        </pic:spPr>
                      </pic:pic>
                    </a:graphicData>
                  </a:graphic>
                </wp:anchor>
              </w:drawing>
            </w:r>
          </w:p>
        </w:tc>
        <w:tc>
          <w:tcPr>
            <w:tcW w:w="4815" w:type="dxa"/>
            <w:tcBorders>
              <w:top w:val="nil"/>
              <w:left w:val="nil"/>
              <w:bottom w:val="nil"/>
              <w:right w:val="nil"/>
              <w:insideH w:val="nil"/>
              <w:insideV w:val="nil"/>
            </w:tcBorders>
            <w:shd w:fill="auto" w:val="clear"/>
          </w:tcPr>
          <w:p>
            <w:pPr>
              <w:pStyle w:val="ListParagraph"/>
              <w:ind w:left="0" w:hanging="0"/>
              <w:jc w:val="center"/>
              <w:rPr>
                <w:sz w:val="28"/>
                <w:szCs w:val="28"/>
              </w:rPr>
            </w:pPr>
            <w:r>
              <w:rPr>
                <w:sz w:val="28"/>
                <w:szCs w:val="28"/>
              </w:rPr>
              <w:drawing>
                <wp:anchor behindDoc="0" distT="0" distB="0" distL="0" distR="0" simplePos="0" locked="0" layoutInCell="1" allowOverlap="1" relativeHeight="8">
                  <wp:simplePos x="0" y="0"/>
                  <wp:positionH relativeFrom="column">
                    <wp:align>center</wp:align>
                  </wp:positionH>
                  <wp:positionV relativeFrom="paragraph">
                    <wp:posOffset>635</wp:posOffset>
                  </wp:positionV>
                  <wp:extent cx="2104390" cy="1805940"/>
                  <wp:effectExtent l="0" t="0" r="0" b="0"/>
                  <wp:wrapSquare wrapText="largest"/>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4"/>
                          <a:stretch>
                            <a:fillRect/>
                          </a:stretch>
                        </pic:blipFill>
                        <pic:spPr bwMode="auto">
                          <a:xfrm>
                            <a:off x="0" y="0"/>
                            <a:ext cx="2104390" cy="1805940"/>
                          </a:xfrm>
                          <a:prstGeom prst="rect">
                            <a:avLst/>
                          </a:prstGeom>
                        </pic:spPr>
                      </pic:pic>
                    </a:graphicData>
                  </a:graphic>
                </wp:anchor>
              </w:drawing>
            </w:r>
          </w:p>
        </w:tc>
      </w:tr>
      <w:tr>
        <w:trPr/>
        <w:tc>
          <w:tcPr>
            <w:tcW w:w="4020" w:type="dxa"/>
            <w:tcBorders>
              <w:top w:val="nil"/>
              <w:left w:val="nil"/>
              <w:bottom w:val="nil"/>
              <w:right w:val="nil"/>
              <w:insideH w:val="nil"/>
              <w:insideV w:val="nil"/>
            </w:tcBorders>
            <w:shd w:fill="auto" w:val="clear"/>
          </w:tcPr>
          <w:p>
            <w:pPr>
              <w:pStyle w:val="ListParagraph"/>
              <w:ind w:left="0" w:hanging="0"/>
              <w:jc w:val="center"/>
              <w:rPr/>
            </w:pPr>
            <w:r>
              <w:rPr>
                <w:sz w:val="28"/>
                <w:szCs w:val="28"/>
              </w:rPr>
              <w:t>кабинет физики</w:t>
            </w:r>
          </w:p>
        </w:tc>
        <w:tc>
          <w:tcPr>
            <w:tcW w:w="1200" w:type="dxa"/>
            <w:tcBorders>
              <w:top w:val="nil"/>
              <w:left w:val="nil"/>
              <w:bottom w:val="nil"/>
              <w:right w:val="nil"/>
              <w:insideH w:val="nil"/>
              <w:insideV w:val="nil"/>
            </w:tcBorders>
            <w:shd w:fill="auto" w:val="clear"/>
          </w:tcPr>
          <w:p>
            <w:pPr>
              <w:pStyle w:val="ListParagraph"/>
              <w:ind w:left="0" w:hanging="0"/>
              <w:jc w:val="center"/>
              <w:rPr/>
            </w:pPr>
            <w:r>
              <w:rPr>
                <w:sz w:val="28"/>
                <w:szCs w:val="28"/>
              </w:rPr>
              <w:t>кабинет физики</w:t>
            </w:r>
          </w:p>
        </w:tc>
        <w:tc>
          <w:tcPr>
            <w:tcW w:w="4815" w:type="dxa"/>
            <w:tcBorders>
              <w:top w:val="nil"/>
              <w:left w:val="nil"/>
              <w:bottom w:val="nil"/>
              <w:right w:val="nil"/>
              <w:insideH w:val="nil"/>
              <w:insideV w:val="nil"/>
            </w:tcBorders>
            <w:shd w:fill="auto" w:val="clear"/>
          </w:tcPr>
          <w:p>
            <w:pPr>
              <w:pStyle w:val="ListParagraph"/>
              <w:ind w:left="0" w:hanging="0"/>
              <w:jc w:val="center"/>
              <w:rPr>
                <w:sz w:val="28"/>
                <w:szCs w:val="28"/>
              </w:rPr>
            </w:pPr>
            <w:r>
              <w:rPr>
                <w:sz w:val="28"/>
                <w:szCs w:val="28"/>
              </w:rPr>
              <w:t>кабинет химии и биологии</w:t>
            </w:r>
          </w:p>
        </w:tc>
      </w:tr>
      <w:tr>
        <w:trPr/>
        <w:tc>
          <w:tcPr>
            <w:tcW w:w="5220" w:type="dxa"/>
            <w:gridSpan w:val="2"/>
            <w:tcBorders>
              <w:top w:val="nil"/>
              <w:left w:val="nil"/>
              <w:bottom w:val="nil"/>
              <w:right w:val="nil"/>
              <w:insideH w:val="nil"/>
              <w:insideV w:val="nil"/>
            </w:tcBorders>
            <w:shd w:fill="auto" w:val="clear"/>
          </w:tcPr>
          <w:p>
            <w:pPr>
              <w:pStyle w:val="ListParagraph"/>
              <w:ind w:left="0" w:hanging="0"/>
              <w:jc w:val="center"/>
              <w:rPr>
                <w:sz w:val="28"/>
                <w:szCs w:val="28"/>
              </w:rPr>
            </w:pPr>
            <w:r>
              <w:rPr>
                <w:sz w:val="28"/>
                <w:szCs w:val="28"/>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3020060" cy="3822700"/>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5"/>
                          <a:stretch>
                            <a:fillRect/>
                          </a:stretch>
                        </pic:blipFill>
                        <pic:spPr bwMode="auto">
                          <a:xfrm>
                            <a:off x="0" y="0"/>
                            <a:ext cx="3020060" cy="3822700"/>
                          </a:xfrm>
                          <a:prstGeom prst="rect">
                            <a:avLst/>
                          </a:prstGeom>
                        </pic:spPr>
                      </pic:pic>
                    </a:graphicData>
                  </a:graphic>
                </wp:anchor>
              </w:drawing>
            </w:r>
          </w:p>
        </w:tc>
        <w:tc>
          <w:tcPr>
            <w:tcW w:w="4815" w:type="dxa"/>
            <w:tcBorders>
              <w:top w:val="nil"/>
              <w:left w:val="nil"/>
              <w:bottom w:val="nil"/>
              <w:right w:val="nil"/>
              <w:insideH w:val="nil"/>
              <w:insideV w:val="nil"/>
            </w:tcBorders>
            <w:shd w:fill="auto" w:val="clear"/>
          </w:tcPr>
          <w:p>
            <w:pPr>
              <w:pStyle w:val="ListParagraph"/>
              <w:ind w:left="0" w:hanging="0"/>
              <w:jc w:val="center"/>
              <w:rPr>
                <w:sz w:val="28"/>
                <w:szCs w:val="28"/>
              </w:rPr>
            </w:pPr>
            <w:r>
              <w:rPr>
                <w:sz w:val="28"/>
                <w:szCs w:val="28"/>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2910840" cy="3881120"/>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6"/>
                          <a:stretch>
                            <a:fillRect/>
                          </a:stretch>
                        </pic:blipFill>
                        <pic:spPr bwMode="auto">
                          <a:xfrm>
                            <a:off x="0" y="0"/>
                            <a:ext cx="2910840" cy="3881120"/>
                          </a:xfrm>
                          <a:prstGeom prst="rect">
                            <a:avLst/>
                          </a:prstGeom>
                        </pic:spPr>
                      </pic:pic>
                    </a:graphicData>
                  </a:graphic>
                </wp:anchor>
              </w:drawing>
            </w:r>
          </w:p>
        </w:tc>
      </w:tr>
      <w:tr>
        <w:trPr/>
        <w:tc>
          <w:tcPr>
            <w:tcW w:w="5220" w:type="dxa"/>
            <w:gridSpan w:val="2"/>
            <w:tcBorders>
              <w:top w:val="nil"/>
              <w:left w:val="nil"/>
              <w:bottom w:val="nil"/>
              <w:right w:val="nil"/>
              <w:insideH w:val="nil"/>
              <w:insideV w:val="nil"/>
            </w:tcBorders>
            <w:shd w:fill="auto" w:val="clear"/>
          </w:tcPr>
          <w:p>
            <w:pPr>
              <w:pStyle w:val="ListParagraph"/>
              <w:ind w:left="0" w:hanging="0"/>
              <w:jc w:val="center"/>
              <w:rPr/>
            </w:pPr>
            <w:r>
              <w:rPr>
                <w:sz w:val="28"/>
                <w:szCs w:val="28"/>
              </w:rPr>
              <w:t>лаборантская по физике</w:t>
            </w:r>
          </w:p>
        </w:tc>
        <w:tc>
          <w:tcPr>
            <w:tcW w:w="4815" w:type="dxa"/>
            <w:tcBorders>
              <w:top w:val="nil"/>
              <w:left w:val="nil"/>
              <w:bottom w:val="nil"/>
              <w:right w:val="nil"/>
              <w:insideH w:val="nil"/>
              <w:insideV w:val="nil"/>
            </w:tcBorders>
            <w:shd w:fill="auto" w:val="clear"/>
          </w:tcPr>
          <w:p>
            <w:pPr>
              <w:pStyle w:val="ListParagraph"/>
              <w:ind w:left="0" w:hanging="0"/>
              <w:jc w:val="center"/>
              <w:rPr>
                <w:sz w:val="28"/>
                <w:szCs w:val="28"/>
              </w:rPr>
            </w:pPr>
            <w:r>
              <w:rPr>
                <w:sz w:val="28"/>
                <w:szCs w:val="28"/>
              </w:rPr>
              <w:t>лаборантская по химии</w:t>
            </w:r>
          </w:p>
        </w:tc>
      </w:tr>
    </w:tbl>
    <w:p>
      <w:pPr>
        <w:pStyle w:val="ListParagraph"/>
        <w:ind w:left="0" w:firstLine="851"/>
        <w:jc w:val="both"/>
        <w:rPr>
          <w:sz w:val="28"/>
          <w:szCs w:val="28"/>
        </w:rPr>
      </w:pPr>
      <w:r>
        <w:rPr>
          <w:sz w:val="28"/>
          <w:szCs w:val="28"/>
        </w:rPr>
        <w:t>- в соответствии с инфраструктурным листом получено всё учебное оборудование.</w:t>
      </w:r>
    </w:p>
    <w:p>
      <w:pPr>
        <w:pStyle w:val="ListParagraph"/>
        <w:ind w:left="0" w:firstLine="851"/>
        <w:jc w:val="both"/>
        <w:rPr/>
      </w:pPr>
      <w:r>
        <w:rPr>
          <w:sz w:val="28"/>
          <w:szCs w:val="28"/>
        </w:rPr>
        <w:t xml:space="preserve">3. Руководителем центра образования «Точка роста» на базе МАОУ «Уральская СОШ» является Беркенова Т.В., учитель </w:t>
      </w:r>
      <w:r>
        <w:rPr>
          <w:color w:val="000000"/>
          <w:sz w:val="28"/>
          <w:szCs w:val="28"/>
        </w:rPr>
        <w:t>химии</w:t>
      </w:r>
      <w:r>
        <w:rPr>
          <w:sz w:val="28"/>
          <w:szCs w:val="28"/>
        </w:rPr>
        <w:t xml:space="preserve">. </w:t>
      </w:r>
    </w:p>
    <w:p>
      <w:pPr>
        <w:pStyle w:val="ListParagraph"/>
        <w:ind w:left="0" w:firstLine="851"/>
        <w:jc w:val="both"/>
        <w:rPr/>
      </w:pPr>
      <w:r>
        <w:rPr>
          <w:sz w:val="28"/>
          <w:szCs w:val="28"/>
        </w:rPr>
        <w:t xml:space="preserve">Общее количество педагогических работников, реализующих образовательные программы на базе центра образования естественно-научной и технологической направленностей </w:t>
      </w:r>
      <w:r>
        <w:rPr>
          <w:color w:val="000000"/>
          <w:sz w:val="28"/>
          <w:szCs w:val="28"/>
        </w:rPr>
        <w:t xml:space="preserve">– 3 </w:t>
      </w:r>
      <w:r>
        <w:rPr>
          <w:sz w:val="28"/>
          <w:szCs w:val="28"/>
        </w:rPr>
        <w:t>чел., из них 3 чел. (учителя химии, физики и биологии) прошли курсовую подготовку, организованную ФГАОУ ДПО «Академия Минпросвещения России» по программе «Использование оборудования детского технопарка «Кванториум» и центра «Точка» для реализации образовательных программ по физике (химии, биологии) в рамках естественно-научного направления».</w:t>
      </w:r>
    </w:p>
    <w:p>
      <w:pPr>
        <w:pStyle w:val="ListParagraph"/>
        <w:ind w:left="0" w:firstLine="851"/>
        <w:jc w:val="both"/>
        <w:rPr/>
      </w:pPr>
      <w:r>
        <w:rPr>
          <w:sz w:val="28"/>
          <w:szCs w:val="28"/>
        </w:rPr>
        <w:t>4. На базе центра образования «Точка роста» в МАОУ «Уральская СОШ» реализуются:</w:t>
      </w:r>
    </w:p>
    <w:p>
      <w:pPr>
        <w:pStyle w:val="ListParagraph"/>
        <w:ind w:left="0" w:firstLine="851"/>
        <w:jc w:val="both"/>
        <w:rPr/>
      </w:pPr>
      <w:r>
        <w:rPr>
          <w:sz w:val="28"/>
          <w:szCs w:val="28"/>
        </w:rPr>
        <w:t>- рабочие программы по учебным предметам «Химия», «Биология». «Физика»;</w:t>
      </w:r>
    </w:p>
    <w:p>
      <w:pPr>
        <w:pStyle w:val="ListParagraph"/>
        <w:ind w:left="0" w:firstLine="851"/>
        <w:jc w:val="both"/>
        <w:rPr/>
      </w:pPr>
      <w:r>
        <w:rPr>
          <w:sz w:val="28"/>
          <w:szCs w:val="28"/>
        </w:rPr>
        <w:t xml:space="preserve">- дополнительные общеобразовательные программы технической и естественно-научной направленностей </w:t>
      </w:r>
      <w:r>
        <w:rPr>
          <w:color w:val="000000"/>
          <w:sz w:val="28"/>
          <w:szCs w:val="28"/>
        </w:rPr>
        <w:t>«Юный биолог».</w:t>
      </w:r>
    </w:p>
    <w:p>
      <w:pPr>
        <w:pStyle w:val="ListParagraph"/>
        <w:ind w:left="0" w:firstLine="851"/>
        <w:jc w:val="both"/>
        <w:rPr/>
      </w:pPr>
      <w:r>
        <w:rPr>
          <w:sz w:val="28"/>
          <w:szCs w:val="28"/>
        </w:rPr>
        <w:t xml:space="preserve">- </w:t>
      </w:r>
      <w:r>
        <w:rPr>
          <w:color w:val="000000"/>
          <w:sz w:val="28"/>
          <w:szCs w:val="28"/>
        </w:rPr>
        <w:t>программы внеурочной деятельности «Юный физик» , « Юный химик»</w:t>
      </w:r>
    </w:p>
    <w:p>
      <w:pPr>
        <w:pStyle w:val="ListParagraph"/>
        <w:ind w:left="0" w:firstLine="851"/>
        <w:jc w:val="both"/>
        <w:rPr/>
      </w:pPr>
      <w:r>
        <w:rPr>
          <w:color w:val="000000"/>
          <w:sz w:val="28"/>
          <w:szCs w:val="28"/>
        </w:rPr>
        <w:t xml:space="preserve">                                           </w:t>
      </w:r>
    </w:p>
    <w:p>
      <w:pPr>
        <w:pStyle w:val="ListParagraph"/>
        <w:ind w:left="0" w:firstLine="851"/>
        <w:jc w:val="both"/>
        <w:rPr/>
      </w:pPr>
      <w:r>
        <w:rPr>
          <w:color w:val="000000"/>
          <w:sz w:val="28"/>
          <w:szCs w:val="28"/>
        </w:rPr>
        <w:t xml:space="preserve">                                          </w:t>
      </w:r>
      <w:r>
        <w:rPr>
          <w:color w:val="000000"/>
          <w:sz w:val="28"/>
          <w:szCs w:val="28"/>
        </w:rPr>
        <w:t>1 смена</w:t>
      </w:r>
    </w:p>
    <w:p>
      <w:pPr>
        <w:sectPr>
          <w:footerReference w:type="default" r:id="rId7"/>
          <w:type w:val="nextPage"/>
          <w:pgSz w:w="11906" w:h="16838"/>
          <w:pgMar w:left="1418" w:right="567" w:header="0" w:top="567" w:footer="709" w:bottom="766" w:gutter="0"/>
          <w:pgNumType w:fmt="decimal"/>
          <w:formProt w:val="false"/>
          <w:textDirection w:val="lrTb"/>
          <w:docGrid w:type="default" w:linePitch="360" w:charSpace="8192"/>
        </w:sectPr>
        <w:pStyle w:val="ListParagraph"/>
        <w:ind w:left="0" w:firstLine="851"/>
        <w:jc w:val="both"/>
        <w:rPr/>
      </w:pPr>
      <w:r>
        <w:rPr/>
        <w:t xml:space="preserve">     </w:t>
      </w:r>
    </w:p>
    <w:tbl>
      <w:tblPr>
        <w:tblStyle w:val="a3"/>
        <w:tblW w:w="9562" w:type="dxa"/>
        <w:jc w:val="left"/>
        <w:tblInd w:w="0" w:type="dxa"/>
        <w:tblBorders/>
        <w:tblCellMar>
          <w:top w:w="0" w:type="dxa"/>
          <w:left w:w="108" w:type="dxa"/>
          <w:bottom w:w="0" w:type="dxa"/>
          <w:right w:w="108" w:type="dxa"/>
        </w:tblCellMar>
        <w:tblLook w:noVBand="1" w:val="04a0" w:noHBand="0" w:lastColumn="0" w:firstColumn="1" w:lastRow="0" w:firstRow="1"/>
      </w:tblPr>
      <w:tblGrid>
        <w:gridCol w:w="7"/>
        <w:gridCol w:w="809"/>
        <w:gridCol w:w="2"/>
        <w:gridCol w:w="2369"/>
        <w:gridCol w:w="1594"/>
        <w:gridCol w:w="7"/>
        <w:gridCol w:w="1586"/>
        <w:gridCol w:w="2"/>
        <w:gridCol w:w="1591"/>
        <w:gridCol w:w="1"/>
        <w:gridCol w:w="1593"/>
      </w:tblGrid>
      <w:tr>
        <w:trPr/>
        <w:tc>
          <w:tcPr>
            <w:tcW w:w="818" w:type="dxa"/>
            <w:gridSpan w:val="3"/>
            <w:tcBorders/>
            <w:shd w:fill="auto" w:val="clear"/>
          </w:tcPr>
          <w:p>
            <w:pPr>
              <w:pStyle w:val="Normal"/>
              <w:spacing w:lineRule="auto" w:line="240" w:before="0" w:after="0"/>
              <w:rPr/>
            </w:pPr>
            <w:r>
              <w:rPr/>
              <w:t>№</w:t>
            </w:r>
          </w:p>
        </w:tc>
        <w:tc>
          <w:tcPr>
            <w:tcW w:w="2369" w:type="dxa"/>
            <w:tcBorders/>
            <w:shd w:fill="auto" w:val="clear"/>
          </w:tcPr>
          <w:p>
            <w:pPr>
              <w:pStyle w:val="Normal"/>
              <w:spacing w:lineRule="auto" w:line="240" w:before="0" w:after="0"/>
              <w:rPr/>
            </w:pPr>
            <w:r>
              <w:rPr/>
              <w:t>понедельник</w:t>
            </w:r>
          </w:p>
        </w:tc>
        <w:tc>
          <w:tcPr>
            <w:tcW w:w="1594" w:type="dxa"/>
            <w:tcBorders/>
            <w:shd w:fill="auto" w:val="clear"/>
          </w:tcPr>
          <w:p>
            <w:pPr>
              <w:pStyle w:val="Normal"/>
              <w:spacing w:lineRule="auto" w:line="240" w:before="0" w:after="0"/>
              <w:rPr/>
            </w:pPr>
            <w:r>
              <w:rPr/>
              <w:t>вторник</w:t>
            </w:r>
          </w:p>
        </w:tc>
        <w:tc>
          <w:tcPr>
            <w:tcW w:w="1595" w:type="dxa"/>
            <w:gridSpan w:val="3"/>
            <w:tcBorders/>
            <w:shd w:fill="auto" w:val="clear"/>
          </w:tcPr>
          <w:p>
            <w:pPr>
              <w:pStyle w:val="Normal"/>
              <w:spacing w:lineRule="auto" w:line="240" w:before="0" w:after="0"/>
              <w:rPr/>
            </w:pPr>
            <w:r>
              <w:rPr/>
              <w:t>среда</w:t>
            </w:r>
          </w:p>
        </w:tc>
        <w:tc>
          <w:tcPr>
            <w:tcW w:w="1592" w:type="dxa"/>
            <w:gridSpan w:val="2"/>
            <w:tcBorders/>
            <w:shd w:fill="auto" w:val="clear"/>
          </w:tcPr>
          <w:p>
            <w:pPr>
              <w:pStyle w:val="Normal"/>
              <w:spacing w:lineRule="auto" w:line="240" w:before="0" w:after="0"/>
              <w:rPr/>
            </w:pPr>
            <w:r>
              <w:rPr/>
              <w:t>четверг</w:t>
            </w:r>
          </w:p>
        </w:tc>
        <w:tc>
          <w:tcPr>
            <w:tcW w:w="1593" w:type="dxa"/>
            <w:tcBorders/>
            <w:shd w:fill="auto" w:val="clear"/>
          </w:tcPr>
          <w:p>
            <w:pPr>
              <w:pStyle w:val="Normal"/>
              <w:spacing w:lineRule="auto" w:line="240" w:before="0" w:after="0"/>
              <w:rPr/>
            </w:pPr>
            <w:r>
              <w:rPr/>
              <w:t>пятница</w:t>
            </w:r>
          </w:p>
        </w:tc>
      </w:tr>
      <w:tr>
        <w:trPr/>
        <w:tc>
          <w:tcPr>
            <w:tcW w:w="818" w:type="dxa"/>
            <w:gridSpan w:val="3"/>
            <w:tcBorders/>
            <w:shd w:fill="auto" w:val="clear"/>
          </w:tcPr>
          <w:p>
            <w:pPr>
              <w:pStyle w:val="Normal"/>
              <w:spacing w:lineRule="auto" w:line="240" w:before="0" w:after="0"/>
              <w:rPr/>
            </w:pPr>
            <w:r>
              <w:rPr/>
              <w:t>1</w:t>
            </w:r>
          </w:p>
        </w:tc>
        <w:tc>
          <w:tcPr>
            <w:tcW w:w="2369" w:type="dxa"/>
            <w:tcBorders/>
            <w:shd w:color="auto" w:fill="FFFF00" w:val="clear"/>
          </w:tcPr>
          <w:p>
            <w:pPr>
              <w:pStyle w:val="Normal"/>
              <w:spacing w:lineRule="auto" w:line="240" w:before="0" w:after="0"/>
              <w:rPr/>
            </w:pPr>
            <w:r>
              <w:rPr/>
              <w:t>Х</w:t>
            </w:r>
          </w:p>
        </w:tc>
        <w:tc>
          <w:tcPr>
            <w:tcW w:w="1594" w:type="dxa"/>
            <w:tcBorders/>
            <w:shd w:color="auto" w:fill="FFFF00" w:val="clear"/>
          </w:tcPr>
          <w:p>
            <w:pPr>
              <w:pStyle w:val="Normal"/>
              <w:spacing w:lineRule="auto" w:line="240" w:before="0" w:after="0"/>
              <w:rPr/>
            </w:pPr>
            <w:r>
              <w:rPr/>
            </w:r>
          </w:p>
        </w:tc>
        <w:tc>
          <w:tcPr>
            <w:tcW w:w="1595" w:type="dxa"/>
            <w:gridSpan w:val="3"/>
            <w:tcBorders/>
            <w:shd w:color="auto" w:fill="FFFF00" w:val="clear"/>
          </w:tcPr>
          <w:p>
            <w:pPr>
              <w:pStyle w:val="Normal"/>
              <w:spacing w:lineRule="auto" w:line="240" w:before="0" w:after="0"/>
              <w:rPr/>
            </w:pPr>
            <w:r>
              <w:rPr/>
            </w:r>
          </w:p>
        </w:tc>
        <w:tc>
          <w:tcPr>
            <w:tcW w:w="1592" w:type="dxa"/>
            <w:gridSpan w:val="2"/>
            <w:tcBorders/>
            <w:shd w:color="auto" w:fill="FFFF00" w:val="clear"/>
          </w:tcPr>
          <w:p>
            <w:pPr>
              <w:pStyle w:val="Normal"/>
              <w:spacing w:lineRule="auto" w:line="240" w:before="0" w:after="0"/>
              <w:rPr/>
            </w:pPr>
            <w:r>
              <w:rPr/>
            </w:r>
          </w:p>
        </w:tc>
        <w:tc>
          <w:tcPr>
            <w:tcW w:w="1593" w:type="dxa"/>
            <w:tcBorders/>
            <w:shd w:color="auto" w:fill="FFFF00" w:val="clear"/>
          </w:tcPr>
          <w:p>
            <w:pPr>
              <w:pStyle w:val="Normal"/>
              <w:spacing w:lineRule="auto" w:line="240" w:before="0" w:after="0"/>
              <w:rPr/>
            </w:pPr>
            <w:r>
              <w:rPr/>
              <w:t>Б</w:t>
            </w:r>
          </w:p>
        </w:tc>
      </w:tr>
      <w:tr>
        <w:trPr/>
        <w:tc>
          <w:tcPr>
            <w:tcW w:w="818" w:type="dxa"/>
            <w:gridSpan w:val="3"/>
            <w:tcBorders/>
            <w:shd w:fill="auto" w:val="clear"/>
          </w:tcPr>
          <w:p>
            <w:pPr>
              <w:pStyle w:val="Normal"/>
              <w:spacing w:lineRule="auto" w:line="240" w:before="0" w:after="0"/>
              <w:rPr/>
            </w:pPr>
            <w:r>
              <w:rPr/>
              <w:t>2</w:t>
            </w:r>
          </w:p>
        </w:tc>
        <w:tc>
          <w:tcPr>
            <w:tcW w:w="2369" w:type="dxa"/>
            <w:tcBorders/>
            <w:shd w:color="auto" w:fill="FFFF00" w:val="clear"/>
          </w:tcPr>
          <w:p>
            <w:pPr>
              <w:pStyle w:val="Normal"/>
              <w:spacing w:lineRule="auto" w:line="240" w:before="0" w:after="0"/>
              <w:rPr/>
            </w:pPr>
            <w:r>
              <w:rPr/>
            </w:r>
          </w:p>
        </w:tc>
        <w:tc>
          <w:tcPr>
            <w:tcW w:w="1594" w:type="dxa"/>
            <w:tcBorders/>
            <w:shd w:color="auto" w:fill="FFFF00" w:val="clear"/>
          </w:tcPr>
          <w:p>
            <w:pPr>
              <w:pStyle w:val="Normal"/>
              <w:spacing w:lineRule="auto" w:line="240" w:before="0" w:after="0"/>
              <w:rPr/>
            </w:pPr>
            <w:r>
              <w:rPr/>
              <w:t>ФБХ</w:t>
            </w:r>
          </w:p>
        </w:tc>
        <w:tc>
          <w:tcPr>
            <w:tcW w:w="1595" w:type="dxa"/>
            <w:gridSpan w:val="3"/>
            <w:tcBorders/>
            <w:shd w:color="auto" w:fill="FFFF00" w:val="clear"/>
          </w:tcPr>
          <w:p>
            <w:pPr>
              <w:pStyle w:val="Normal"/>
              <w:spacing w:lineRule="auto" w:line="240" w:before="0" w:after="0"/>
              <w:rPr/>
            </w:pPr>
            <w:r>
              <w:rPr/>
              <w:t>ФБ</w:t>
            </w:r>
          </w:p>
        </w:tc>
        <w:tc>
          <w:tcPr>
            <w:tcW w:w="1592" w:type="dxa"/>
            <w:gridSpan w:val="2"/>
            <w:tcBorders/>
            <w:shd w:color="auto" w:fill="FFFF00" w:val="clear"/>
          </w:tcPr>
          <w:p>
            <w:pPr>
              <w:pStyle w:val="Normal"/>
              <w:spacing w:lineRule="auto" w:line="240" w:before="0" w:after="0"/>
              <w:rPr/>
            </w:pPr>
            <w:r>
              <w:rPr/>
              <w:t>Ф</w:t>
            </w:r>
          </w:p>
        </w:tc>
        <w:tc>
          <w:tcPr>
            <w:tcW w:w="1593" w:type="dxa"/>
            <w:tcBorders/>
            <w:shd w:color="auto" w:fill="FFFF00" w:val="clear"/>
          </w:tcPr>
          <w:p>
            <w:pPr>
              <w:pStyle w:val="Normal"/>
              <w:spacing w:lineRule="auto" w:line="240" w:before="0" w:after="0"/>
              <w:rPr/>
            </w:pPr>
            <w:r>
              <w:rPr/>
            </w:r>
          </w:p>
        </w:tc>
      </w:tr>
      <w:tr>
        <w:trPr/>
        <w:tc>
          <w:tcPr>
            <w:tcW w:w="818" w:type="dxa"/>
            <w:gridSpan w:val="3"/>
            <w:tcBorders/>
            <w:shd w:fill="auto" w:val="clear"/>
          </w:tcPr>
          <w:p>
            <w:pPr>
              <w:pStyle w:val="Normal"/>
              <w:spacing w:lineRule="auto" w:line="240" w:before="0" w:after="0"/>
              <w:rPr/>
            </w:pPr>
            <w:r>
              <w:rPr/>
              <w:t>3</w:t>
            </w:r>
          </w:p>
        </w:tc>
        <w:tc>
          <w:tcPr>
            <w:tcW w:w="2369" w:type="dxa"/>
            <w:tcBorders/>
            <w:shd w:color="auto" w:fill="FFFF00" w:val="clear"/>
          </w:tcPr>
          <w:p>
            <w:pPr>
              <w:pStyle w:val="Normal"/>
              <w:spacing w:lineRule="auto" w:line="240" w:before="0" w:after="0"/>
              <w:rPr/>
            </w:pPr>
            <w:r>
              <w:rPr/>
            </w:r>
          </w:p>
        </w:tc>
        <w:tc>
          <w:tcPr>
            <w:tcW w:w="1594" w:type="dxa"/>
            <w:tcBorders/>
            <w:shd w:color="auto" w:fill="FFFF00" w:val="clear"/>
          </w:tcPr>
          <w:p>
            <w:pPr>
              <w:pStyle w:val="Normal"/>
              <w:spacing w:lineRule="auto" w:line="240" w:before="0" w:after="0"/>
              <w:rPr/>
            </w:pPr>
            <w:r>
              <w:rPr/>
              <w:t>ФБХ</w:t>
            </w:r>
          </w:p>
        </w:tc>
        <w:tc>
          <w:tcPr>
            <w:tcW w:w="1595" w:type="dxa"/>
            <w:gridSpan w:val="3"/>
            <w:tcBorders/>
            <w:shd w:color="auto" w:fill="FFFF00" w:val="clear"/>
          </w:tcPr>
          <w:p>
            <w:pPr>
              <w:pStyle w:val="Normal"/>
              <w:spacing w:lineRule="auto" w:line="240" w:before="0" w:after="0"/>
              <w:rPr/>
            </w:pPr>
            <w:r>
              <w:rPr/>
              <w:t>ФХ</w:t>
            </w:r>
          </w:p>
        </w:tc>
        <w:tc>
          <w:tcPr>
            <w:tcW w:w="1592" w:type="dxa"/>
            <w:gridSpan w:val="2"/>
            <w:tcBorders/>
            <w:shd w:color="auto" w:fill="FFFF00" w:val="clear"/>
          </w:tcPr>
          <w:p>
            <w:pPr>
              <w:pStyle w:val="Normal"/>
              <w:spacing w:lineRule="auto" w:line="240" w:before="0" w:after="0"/>
              <w:rPr/>
            </w:pPr>
            <w:r>
              <w:rPr/>
              <w:t>Ф</w:t>
            </w:r>
          </w:p>
        </w:tc>
        <w:tc>
          <w:tcPr>
            <w:tcW w:w="1593" w:type="dxa"/>
            <w:tcBorders/>
            <w:shd w:color="auto" w:fill="FFFF00" w:val="clear"/>
          </w:tcPr>
          <w:p>
            <w:pPr>
              <w:pStyle w:val="Normal"/>
              <w:spacing w:lineRule="auto" w:line="240" w:before="0" w:after="0"/>
              <w:rPr/>
            </w:pPr>
            <w:r>
              <w:rPr/>
              <w:t>ФБ</w:t>
            </w:r>
          </w:p>
        </w:tc>
      </w:tr>
      <w:tr>
        <w:trPr/>
        <w:tc>
          <w:tcPr>
            <w:tcW w:w="818" w:type="dxa"/>
            <w:gridSpan w:val="3"/>
            <w:tcBorders/>
            <w:shd w:fill="auto" w:val="clear"/>
          </w:tcPr>
          <w:p>
            <w:pPr>
              <w:pStyle w:val="Normal"/>
              <w:spacing w:lineRule="auto" w:line="240" w:before="0" w:after="0"/>
              <w:rPr/>
            </w:pPr>
            <w:r>
              <w:rPr/>
              <w:t>4</w:t>
            </w:r>
          </w:p>
        </w:tc>
        <w:tc>
          <w:tcPr>
            <w:tcW w:w="2369" w:type="dxa"/>
            <w:tcBorders/>
            <w:shd w:color="auto" w:fill="FFFF00" w:val="clear"/>
          </w:tcPr>
          <w:p>
            <w:pPr>
              <w:pStyle w:val="Normal"/>
              <w:spacing w:lineRule="auto" w:line="240" w:before="0" w:after="0"/>
              <w:rPr/>
            </w:pPr>
            <w:r>
              <w:rPr/>
            </w:r>
          </w:p>
        </w:tc>
        <w:tc>
          <w:tcPr>
            <w:tcW w:w="1594" w:type="dxa"/>
            <w:tcBorders/>
            <w:shd w:color="auto" w:fill="FFFF00" w:val="clear"/>
          </w:tcPr>
          <w:p>
            <w:pPr>
              <w:pStyle w:val="Normal"/>
              <w:spacing w:lineRule="auto" w:line="240" w:before="0" w:after="0"/>
              <w:rPr/>
            </w:pPr>
            <w:r>
              <w:rPr/>
              <w:t>ФБ</w:t>
            </w:r>
          </w:p>
        </w:tc>
        <w:tc>
          <w:tcPr>
            <w:tcW w:w="1595" w:type="dxa"/>
            <w:gridSpan w:val="3"/>
            <w:tcBorders/>
            <w:shd w:color="auto" w:fill="FFFF00" w:val="clear"/>
          </w:tcPr>
          <w:p>
            <w:pPr>
              <w:pStyle w:val="Normal"/>
              <w:spacing w:lineRule="auto" w:line="240" w:before="0" w:after="0"/>
              <w:rPr/>
            </w:pPr>
            <w:r>
              <w:rPr/>
              <w:t>Ф</w:t>
            </w:r>
          </w:p>
        </w:tc>
        <w:tc>
          <w:tcPr>
            <w:tcW w:w="1592" w:type="dxa"/>
            <w:gridSpan w:val="2"/>
            <w:tcBorders/>
            <w:shd w:color="auto" w:fill="FFFF00" w:val="clear"/>
          </w:tcPr>
          <w:p>
            <w:pPr>
              <w:pStyle w:val="Normal"/>
              <w:spacing w:lineRule="auto" w:line="240" w:before="0" w:after="0"/>
              <w:rPr/>
            </w:pPr>
            <w:r>
              <w:rPr/>
              <w:t>Ф</w:t>
            </w:r>
          </w:p>
        </w:tc>
        <w:tc>
          <w:tcPr>
            <w:tcW w:w="1593" w:type="dxa"/>
            <w:tcBorders/>
            <w:shd w:color="auto" w:fill="FFFF00" w:val="clear"/>
          </w:tcPr>
          <w:p>
            <w:pPr>
              <w:pStyle w:val="Normal"/>
              <w:spacing w:lineRule="auto" w:line="240" w:before="0" w:after="0"/>
              <w:rPr/>
            </w:pPr>
            <w:r>
              <w:rPr/>
              <w:t>Ф</w:t>
            </w:r>
          </w:p>
        </w:tc>
      </w:tr>
      <w:tr>
        <w:trPr/>
        <w:tc>
          <w:tcPr>
            <w:tcW w:w="818" w:type="dxa"/>
            <w:gridSpan w:val="3"/>
            <w:tcBorders/>
            <w:shd w:fill="auto" w:val="clear"/>
          </w:tcPr>
          <w:p>
            <w:pPr>
              <w:pStyle w:val="Normal"/>
              <w:spacing w:lineRule="auto" w:line="240" w:before="0" w:after="0"/>
              <w:rPr/>
            </w:pPr>
            <w:r>
              <w:rPr/>
              <w:t>5</w:t>
            </w:r>
          </w:p>
        </w:tc>
        <w:tc>
          <w:tcPr>
            <w:tcW w:w="2369" w:type="dxa"/>
            <w:tcBorders/>
            <w:shd w:color="auto" w:fill="FFFF00" w:val="clear"/>
          </w:tcPr>
          <w:p>
            <w:pPr>
              <w:pStyle w:val="Normal"/>
              <w:spacing w:lineRule="auto" w:line="240" w:before="0" w:after="0"/>
              <w:rPr/>
            </w:pPr>
            <w:r>
              <w:rPr/>
              <w:t>Х</w:t>
            </w:r>
          </w:p>
        </w:tc>
        <w:tc>
          <w:tcPr>
            <w:tcW w:w="1594" w:type="dxa"/>
            <w:tcBorders/>
            <w:shd w:color="auto" w:fill="FFFF00" w:val="clear"/>
          </w:tcPr>
          <w:p>
            <w:pPr>
              <w:pStyle w:val="Normal"/>
              <w:spacing w:lineRule="auto" w:line="240" w:before="0" w:after="0"/>
              <w:rPr/>
            </w:pPr>
            <w:r>
              <w:rPr/>
              <w:t>Ф</w:t>
            </w:r>
          </w:p>
        </w:tc>
        <w:tc>
          <w:tcPr>
            <w:tcW w:w="1595" w:type="dxa"/>
            <w:gridSpan w:val="3"/>
            <w:tcBorders/>
            <w:shd w:color="auto" w:fill="FFFF00" w:val="clear"/>
          </w:tcPr>
          <w:p>
            <w:pPr>
              <w:pStyle w:val="Normal"/>
              <w:spacing w:lineRule="auto" w:line="240" w:before="0" w:after="0"/>
              <w:rPr/>
            </w:pPr>
            <w:r>
              <w:rPr/>
              <w:t>Б</w:t>
            </w:r>
          </w:p>
        </w:tc>
        <w:tc>
          <w:tcPr>
            <w:tcW w:w="1592" w:type="dxa"/>
            <w:gridSpan w:val="2"/>
            <w:tcBorders/>
            <w:shd w:color="auto" w:fill="FFFF00" w:val="clear"/>
          </w:tcPr>
          <w:p>
            <w:pPr>
              <w:pStyle w:val="Normal"/>
              <w:spacing w:lineRule="auto" w:line="240" w:before="0" w:after="0"/>
              <w:rPr/>
            </w:pPr>
            <w:r>
              <w:rPr/>
            </w:r>
          </w:p>
        </w:tc>
        <w:tc>
          <w:tcPr>
            <w:tcW w:w="1593" w:type="dxa"/>
            <w:tcBorders/>
            <w:shd w:color="auto" w:fill="FFFF00" w:val="clear"/>
          </w:tcPr>
          <w:p>
            <w:pPr>
              <w:pStyle w:val="Normal"/>
              <w:spacing w:lineRule="auto" w:line="240" w:before="0" w:after="0"/>
              <w:rPr/>
            </w:pPr>
            <w:r>
              <w:rPr/>
              <w:t>ФХ</w:t>
            </w:r>
          </w:p>
        </w:tc>
      </w:tr>
      <w:tr>
        <w:trPr/>
        <w:tc>
          <w:tcPr>
            <w:tcW w:w="818" w:type="dxa"/>
            <w:gridSpan w:val="3"/>
            <w:tcBorders/>
            <w:shd w:fill="auto" w:val="clear"/>
          </w:tcPr>
          <w:p>
            <w:pPr>
              <w:pStyle w:val="Normal"/>
              <w:spacing w:lineRule="auto" w:line="240" w:before="0" w:after="0"/>
              <w:rPr/>
            </w:pPr>
            <w:r>
              <w:rPr/>
              <w:t>6</w:t>
            </w:r>
          </w:p>
        </w:tc>
        <w:tc>
          <w:tcPr>
            <w:tcW w:w="2369" w:type="dxa"/>
            <w:tcBorders/>
            <w:shd w:color="auto" w:fill="FFFF00" w:val="clear"/>
          </w:tcPr>
          <w:p>
            <w:pPr>
              <w:pStyle w:val="Normal"/>
              <w:spacing w:lineRule="auto" w:line="240" w:before="0" w:after="0"/>
              <w:rPr/>
            </w:pPr>
            <w:r>
              <w:rPr/>
            </w:r>
          </w:p>
        </w:tc>
        <w:tc>
          <w:tcPr>
            <w:tcW w:w="1594" w:type="dxa"/>
            <w:tcBorders/>
            <w:shd w:color="auto" w:fill="FFFF00" w:val="clear"/>
          </w:tcPr>
          <w:p>
            <w:pPr>
              <w:pStyle w:val="Normal"/>
              <w:spacing w:lineRule="auto" w:line="240" w:before="0" w:after="0"/>
              <w:rPr/>
            </w:pPr>
            <w:r>
              <w:rPr/>
              <w:t>Б</w:t>
            </w:r>
          </w:p>
        </w:tc>
        <w:tc>
          <w:tcPr>
            <w:tcW w:w="1595" w:type="dxa"/>
            <w:gridSpan w:val="3"/>
            <w:tcBorders/>
            <w:shd w:color="auto" w:fill="FFFF00" w:val="clear"/>
          </w:tcPr>
          <w:p>
            <w:pPr>
              <w:pStyle w:val="Normal"/>
              <w:spacing w:lineRule="auto" w:line="240" w:before="0" w:after="0"/>
              <w:rPr/>
            </w:pPr>
            <w:r>
              <w:rPr/>
              <w:t>ФБ</w:t>
            </w:r>
          </w:p>
        </w:tc>
        <w:tc>
          <w:tcPr>
            <w:tcW w:w="1592" w:type="dxa"/>
            <w:gridSpan w:val="2"/>
            <w:tcBorders/>
            <w:shd w:color="auto" w:fill="FFFF00" w:val="clear"/>
          </w:tcPr>
          <w:p>
            <w:pPr>
              <w:pStyle w:val="Normal"/>
              <w:spacing w:lineRule="auto" w:line="240" w:before="0" w:after="0"/>
              <w:rPr/>
            </w:pPr>
            <w:r>
              <w:rPr/>
            </w:r>
          </w:p>
        </w:tc>
        <w:tc>
          <w:tcPr>
            <w:tcW w:w="1593" w:type="dxa"/>
            <w:tcBorders/>
            <w:shd w:color="auto" w:fill="FFFF00" w:val="clear"/>
          </w:tcPr>
          <w:p>
            <w:pPr>
              <w:pStyle w:val="Normal"/>
              <w:spacing w:lineRule="auto" w:line="240" w:before="0" w:after="0"/>
              <w:rPr/>
            </w:pPr>
            <w:r>
              <w:rPr/>
              <w:t>Б</w:t>
            </w:r>
          </w:p>
        </w:tc>
      </w:tr>
      <w:tr>
        <w:trPr>
          <w:trHeight w:val="315" w:hRule="atLeast"/>
        </w:trPr>
        <w:tc>
          <w:tcPr>
            <w:tcW w:w="7" w:type="dxa"/>
            <w:tcBorders/>
            <w:shd w:fill="auto" w:val="clear"/>
          </w:tcPr>
          <w:p>
            <w:pPr>
              <w:pStyle w:val="Normal"/>
              <w:spacing w:lineRule="auto" w:line="240" w:before="0" w:after="0"/>
              <w:rPr/>
            </w:pPr>
            <w:r>
              <w:rPr/>
            </w:r>
          </w:p>
        </w:tc>
        <w:tc>
          <w:tcPr>
            <w:tcW w:w="809" w:type="dxa"/>
            <w:tcBorders/>
            <w:shd w:fill="auto" w:val="clear"/>
          </w:tcPr>
          <w:p>
            <w:pPr>
              <w:pStyle w:val="Normal"/>
              <w:spacing w:lineRule="auto" w:line="240" w:before="0" w:after="0"/>
              <w:rPr/>
            </w:pPr>
            <w:r>
              <w:rPr/>
            </w:r>
          </w:p>
        </w:tc>
        <w:tc>
          <w:tcPr>
            <w:tcW w:w="2371" w:type="dxa"/>
            <w:gridSpan w:val="2"/>
            <w:tcBorders/>
            <w:shd w:color="auto" w:fill="4F81BD" w:themeFill="accent1" w:val="clear"/>
          </w:tcPr>
          <w:p>
            <w:pPr>
              <w:pStyle w:val="Normal"/>
              <w:spacing w:lineRule="auto" w:line="240" w:before="0" w:after="0"/>
              <w:rPr/>
            </w:pPr>
            <w:r>
              <w:rPr/>
              <w:t>«Юный химик»</w:t>
            </w:r>
          </w:p>
        </w:tc>
        <w:tc>
          <w:tcPr>
            <w:tcW w:w="1601" w:type="dxa"/>
            <w:gridSpan w:val="2"/>
            <w:tcBorders/>
            <w:shd w:color="auto" w:fill="4F81BD" w:themeFill="accent1" w:val="clear"/>
          </w:tcPr>
          <w:p>
            <w:pPr>
              <w:pStyle w:val="Normal"/>
              <w:spacing w:lineRule="auto" w:line="240" w:before="0" w:after="0"/>
              <w:rPr/>
            </w:pPr>
            <w:r>
              <w:rPr/>
              <w:t>«Юный физик!</w:t>
            </w:r>
          </w:p>
        </w:tc>
        <w:tc>
          <w:tcPr>
            <w:tcW w:w="1586" w:type="dxa"/>
            <w:tcBorders/>
            <w:shd w:fill="auto" w:val="clear"/>
          </w:tcPr>
          <w:p>
            <w:pPr>
              <w:pStyle w:val="Normal"/>
              <w:spacing w:lineRule="auto" w:line="240" w:before="0" w:after="0"/>
              <w:rPr/>
            </w:pPr>
            <w:r>
              <w:rPr/>
            </w:r>
          </w:p>
        </w:tc>
        <w:tc>
          <w:tcPr>
            <w:tcW w:w="1593" w:type="dxa"/>
            <w:gridSpan w:val="2"/>
            <w:tcBorders/>
            <w:shd w:color="auto" w:fill="9BBB59" w:themeFill="accent3" w:val="clear"/>
          </w:tcPr>
          <w:p>
            <w:pPr>
              <w:pStyle w:val="Normal"/>
              <w:spacing w:lineRule="auto" w:line="240" w:before="0" w:after="0"/>
              <w:rPr/>
            </w:pPr>
            <w:r>
              <w:rPr/>
              <w:t>«Юный биолог»</w:t>
            </w:r>
          </w:p>
        </w:tc>
        <w:tc>
          <w:tcPr>
            <w:tcW w:w="1594" w:type="dxa"/>
            <w:gridSpan w:val="2"/>
            <w:tcBorders/>
            <w:shd w:fill="auto" w:val="clear"/>
          </w:tcPr>
          <w:p>
            <w:pPr>
              <w:pStyle w:val="Normal"/>
              <w:spacing w:lineRule="auto" w:line="240" w:before="0" w:after="0"/>
              <w:rPr/>
            </w:pPr>
            <w:r>
              <w:rPr/>
            </w:r>
          </w:p>
        </w:tc>
      </w:tr>
    </w:tbl>
    <w:p>
      <w:pPr>
        <w:pStyle w:val="ListParagraph"/>
        <w:ind w:left="0" w:firstLine="851"/>
        <w:jc w:val="both"/>
        <w:rPr>
          <w:sz w:val="28"/>
          <w:szCs w:val="28"/>
        </w:rPr>
      </w:pPr>
      <w:r>
        <w:rPr>
          <w:sz w:val="28"/>
          <w:szCs w:val="28"/>
        </w:rPr>
      </w:r>
    </w:p>
    <w:p>
      <w:pPr>
        <w:pStyle w:val="ListParagraph"/>
        <w:ind w:left="0" w:firstLine="851"/>
        <w:jc w:val="both"/>
        <w:rPr>
          <w:sz w:val="28"/>
          <w:szCs w:val="28"/>
        </w:rPr>
      </w:pPr>
      <w:r>
        <w:rPr>
          <w:sz w:val="28"/>
          <w:szCs w:val="28"/>
        </w:rPr>
      </w:r>
    </w:p>
    <w:tbl>
      <w:tblPr>
        <w:tblStyle w:val="a6"/>
        <w:tblW w:w="10137" w:type="dxa"/>
        <w:jc w:val="center"/>
        <w:tblInd w:w="0" w:type="dxa"/>
        <w:tblCellMar>
          <w:top w:w="0" w:type="dxa"/>
          <w:left w:w="108" w:type="dxa"/>
          <w:bottom w:w="0" w:type="dxa"/>
          <w:right w:w="108" w:type="dxa"/>
        </w:tblCellMar>
        <w:tblLook w:noVBand="1" w:val="04a0" w:noHBand="0" w:lastColumn="0" w:firstColumn="1" w:lastRow="0" w:firstRow="1"/>
      </w:tblPr>
      <w:tblGrid>
        <w:gridCol w:w="1258"/>
        <w:gridCol w:w="8878"/>
      </w:tblGrid>
      <w:tr>
        <w:trPr/>
        <w:tc>
          <w:tcPr>
            <w:tcW w:w="1258" w:type="dxa"/>
            <w:tcBorders/>
            <w:shd w:color="auto" w:fill="FFFF00" w:val="clear"/>
          </w:tcPr>
          <w:p>
            <w:pPr>
              <w:pStyle w:val="ListParagraph"/>
              <w:ind w:left="0" w:hanging="0"/>
              <w:jc w:val="both"/>
              <w:rPr/>
            </w:pPr>
            <w:r>
              <w:rPr/>
            </w:r>
          </w:p>
        </w:tc>
        <w:tc>
          <w:tcPr>
            <w:tcW w:w="8878" w:type="dxa"/>
            <w:tcBorders>
              <w:top w:val="nil"/>
              <w:bottom w:val="nil"/>
              <w:insideH w:val="nil"/>
            </w:tcBorders>
            <w:shd w:fill="auto" w:val="clear"/>
          </w:tcPr>
          <w:p>
            <w:pPr>
              <w:pStyle w:val="ListParagraph"/>
              <w:ind w:left="0" w:hanging="0"/>
              <w:jc w:val="both"/>
              <w:rPr/>
            </w:pPr>
            <w:r>
              <w:rPr/>
              <w:t>общеобразовательные программы</w:t>
            </w:r>
          </w:p>
        </w:tc>
      </w:tr>
    </w:tbl>
    <w:p>
      <w:pPr>
        <w:pStyle w:val="Normal"/>
        <w:rPr/>
      </w:pPr>
      <w:r>
        <w:rPr/>
      </w:r>
    </w:p>
    <w:tbl>
      <w:tblPr>
        <w:tblStyle w:val="a6"/>
        <w:tblW w:w="10137" w:type="dxa"/>
        <w:jc w:val="center"/>
        <w:tblInd w:w="0" w:type="dxa"/>
        <w:tblCellMar>
          <w:top w:w="0" w:type="dxa"/>
          <w:left w:w="108" w:type="dxa"/>
          <w:bottom w:w="0" w:type="dxa"/>
          <w:right w:w="108" w:type="dxa"/>
        </w:tblCellMar>
        <w:tblLook w:noVBand="1" w:val="04a0" w:noHBand="0" w:lastColumn="0" w:firstColumn="1" w:lastRow="0" w:firstRow="1"/>
      </w:tblPr>
      <w:tblGrid>
        <w:gridCol w:w="1396"/>
        <w:gridCol w:w="8740"/>
      </w:tblGrid>
      <w:tr>
        <w:trPr/>
        <w:tc>
          <w:tcPr>
            <w:tcW w:w="1396" w:type="dxa"/>
            <w:tcBorders/>
            <w:shd w:color="auto" w:fill="92D050" w:val="clear"/>
          </w:tcPr>
          <w:p>
            <w:pPr>
              <w:pStyle w:val="ListParagraph"/>
              <w:ind w:left="0" w:hanging="0"/>
              <w:jc w:val="both"/>
              <w:rPr/>
            </w:pPr>
            <w:r>
              <w:rPr/>
            </w:r>
          </w:p>
        </w:tc>
        <w:tc>
          <w:tcPr>
            <w:tcW w:w="8740" w:type="dxa"/>
            <w:tcBorders>
              <w:top w:val="nil"/>
              <w:left w:val="nil"/>
              <w:bottom w:val="nil"/>
              <w:right w:val="nil"/>
              <w:insideH w:val="nil"/>
              <w:insideV w:val="nil"/>
            </w:tcBorders>
            <w:shd w:fill="auto" w:val="clear"/>
          </w:tcPr>
          <w:p>
            <w:pPr>
              <w:pStyle w:val="ListParagraph"/>
              <w:ind w:left="0" w:hanging="0"/>
              <w:jc w:val="both"/>
              <w:rPr/>
            </w:pPr>
            <w:r>
              <w:rPr/>
              <w:t xml:space="preserve">программы дополнительного образования </w:t>
            </w:r>
          </w:p>
        </w:tc>
      </w:tr>
    </w:tbl>
    <w:p>
      <w:pPr>
        <w:pStyle w:val="Normal"/>
        <w:ind w:left="0" w:firstLine="851"/>
        <w:jc w:val="both"/>
        <w:rPr>
          <w:sz w:val="28"/>
          <w:szCs w:val="28"/>
        </w:rPr>
      </w:pPr>
      <w:r>
        <w:rPr>
          <w:sz w:val="28"/>
          <w:szCs w:val="28"/>
        </w:rPr>
      </w:r>
    </w:p>
    <w:p>
      <w:pPr>
        <w:pStyle w:val="Normal"/>
        <w:rPr/>
      </w:pPr>
      <w:r>
        <w:rPr/>
      </w:r>
    </w:p>
    <w:tbl>
      <w:tblPr>
        <w:tblStyle w:val="a6"/>
        <w:tblW w:w="10137" w:type="dxa"/>
        <w:jc w:val="center"/>
        <w:tblInd w:w="0" w:type="dxa"/>
        <w:tblCellMar>
          <w:top w:w="0" w:type="dxa"/>
          <w:left w:w="108" w:type="dxa"/>
          <w:bottom w:w="0" w:type="dxa"/>
          <w:right w:w="108" w:type="dxa"/>
        </w:tblCellMar>
        <w:tblLook w:noVBand="1" w:val="04a0" w:noHBand="0" w:lastColumn="0" w:firstColumn="1" w:lastRow="0" w:firstRow="1"/>
      </w:tblPr>
      <w:tblGrid>
        <w:gridCol w:w="1258"/>
        <w:gridCol w:w="8878"/>
      </w:tblGrid>
      <w:tr>
        <w:trPr/>
        <w:tc>
          <w:tcPr>
            <w:tcW w:w="1258" w:type="dxa"/>
            <w:tcBorders/>
            <w:shd w:color="auto" w:fill="95B3D7" w:themeFill="accent1" w:themeFillTint="99" w:val="clear"/>
          </w:tcPr>
          <w:p>
            <w:pPr>
              <w:pStyle w:val="ListParagraph"/>
              <w:ind w:left="0" w:hanging="0"/>
              <w:jc w:val="both"/>
              <w:rPr/>
            </w:pPr>
            <w:r>
              <w:rPr/>
            </w:r>
          </w:p>
        </w:tc>
        <w:tc>
          <w:tcPr>
            <w:tcW w:w="8878" w:type="dxa"/>
            <w:tcBorders>
              <w:top w:val="nil"/>
              <w:left w:val="nil"/>
              <w:bottom w:val="nil"/>
              <w:right w:val="nil"/>
              <w:insideH w:val="nil"/>
              <w:insideV w:val="nil"/>
            </w:tcBorders>
            <w:shd w:fill="auto" w:val="clear"/>
          </w:tcPr>
          <w:p>
            <w:pPr>
              <w:pStyle w:val="ListParagraph"/>
              <w:ind w:left="0" w:hanging="0"/>
              <w:jc w:val="both"/>
              <w:rPr/>
            </w:pPr>
            <w:r>
              <w:rPr/>
              <w:t>программы внеурочной деятельности</w:t>
            </w:r>
          </w:p>
        </w:tc>
      </w:tr>
    </w:tbl>
    <w:p>
      <w:pPr>
        <w:pStyle w:val="Normal"/>
        <w:ind w:left="0" w:firstLine="851"/>
        <w:jc w:val="both"/>
        <w:rPr>
          <w:sz w:val="28"/>
          <w:szCs w:val="28"/>
        </w:rPr>
      </w:pPr>
      <w:r>
        <w:rPr>
          <w:sz w:val="28"/>
          <w:szCs w:val="28"/>
        </w:rPr>
      </w:r>
    </w:p>
    <w:p>
      <w:pPr>
        <w:pStyle w:val="ListParagraph"/>
        <w:ind w:left="0" w:firstLine="851"/>
        <w:jc w:val="both"/>
        <w:rPr/>
      </w:pPr>
      <w:r>
        <w:rPr>
          <w:sz w:val="28"/>
          <w:szCs w:val="28"/>
        </w:rPr>
        <w:t xml:space="preserve">Изучение расписания уроков и кружков в течение учебного дня, учебной недели показало высокую загруженность помещений центров «Точка роста» в первую смену. </w:t>
      </w:r>
    </w:p>
    <w:p>
      <w:pPr>
        <w:pStyle w:val="ListParagraph"/>
        <w:ind w:left="0" w:firstLine="851"/>
        <w:jc w:val="both"/>
        <w:rPr>
          <w:sz w:val="28"/>
          <w:szCs w:val="28"/>
        </w:rPr>
      </w:pPr>
      <w:r>
        <w:rPr>
          <w:sz w:val="28"/>
          <w:szCs w:val="28"/>
        </w:rPr>
        <w:t>Вторая половина дня в центре образования «Точка роста» определена для проведения экскурсий, школьных и районных мероприятий. Например:</w:t>
      </w:r>
    </w:p>
    <w:p>
      <w:pPr>
        <w:pStyle w:val="ListParagraph"/>
        <w:ind w:left="0" w:firstLine="851"/>
        <w:jc w:val="both"/>
        <w:rPr/>
      </w:pPr>
      <w:r>
        <w:rPr>
          <w:color w:val="000000"/>
          <w:sz w:val="28"/>
          <w:szCs w:val="28"/>
        </w:rPr>
        <w:t xml:space="preserve">- </w:t>
      </w:r>
      <w:r>
        <w:rPr>
          <w:color w:val="000000"/>
          <w:sz w:val="28"/>
          <w:szCs w:val="28"/>
          <w:shd w:fill="FFFFFF" w:val="clear"/>
        </w:rPr>
        <w:t>мастер – класс педагогов центра образования «Точка роста» по вопросам преподавания химии, биологии и физики с использованием оборудования для коллектива МАОУ «Уральская СОШ» ;</w:t>
      </w:r>
    </w:p>
    <w:p>
      <w:pPr>
        <w:pStyle w:val="ListParagraph"/>
        <w:ind w:left="0" w:firstLine="851"/>
        <w:jc w:val="both"/>
        <w:rPr>
          <w:color w:val="FF0000"/>
          <w:sz w:val="28"/>
          <w:szCs w:val="28"/>
          <w:highlight w:val="white"/>
        </w:rPr>
      </w:pPr>
      <w:r>
        <w:rPr>
          <w:color w:val="000000"/>
          <w:sz w:val="28"/>
          <w:szCs w:val="28"/>
          <w:shd w:fill="FFFFFF" w:val="clear"/>
        </w:rPr>
        <w:t>- семинар – практикум для учителей химии на тему: «Организация проектной и исследовательской деятельности обучающихся с использованием цифровой лаборатории на уроках химии».</w:t>
      </w:r>
    </w:p>
    <w:p>
      <w:pPr>
        <w:pStyle w:val="ListParagraph"/>
        <w:ind w:left="0" w:firstLine="851"/>
        <w:jc w:val="both"/>
        <w:rPr/>
      </w:pPr>
      <w:r>
        <w:rPr>
          <w:sz w:val="28"/>
          <w:szCs w:val="28"/>
        </w:rPr>
        <w:t>В рамках договора о сетевом взаимодействии  на базе центра «Точка роста» проводятся уроки химии и биологии для обучающихся МАОУ  «Уртазымская ООШ».</w:t>
      </w:r>
    </w:p>
    <w:p>
      <w:pPr>
        <w:pStyle w:val="ListParagraph"/>
        <w:ind w:left="0" w:firstLine="851"/>
        <w:jc w:val="both"/>
        <w:rPr/>
      </w:pPr>
      <w:r>
        <w:rPr>
          <w:sz w:val="28"/>
          <w:szCs w:val="28"/>
        </w:rPr>
        <w:t xml:space="preserve">В соответствии с районным планом работы, проведения осенних и зимних каникул школьников на базе центра образования «Точка роста» с использованием </w:t>
      </w:r>
      <w:r>
        <w:rPr>
          <w:color w:val="000000"/>
          <w:sz w:val="28"/>
          <w:szCs w:val="28"/>
        </w:rPr>
        <w:t xml:space="preserve">имеющегося оборудования проведены  мастер-классы для обучающихся района: </w:t>
      </w:r>
    </w:p>
    <w:p>
      <w:pPr>
        <w:pStyle w:val="ListParagraph"/>
        <w:ind w:left="0" w:firstLine="851"/>
        <w:jc w:val="both"/>
        <w:rPr/>
      </w:pPr>
      <w:r>
        <w:rPr>
          <w:color w:val="000000"/>
          <w:sz w:val="28"/>
          <w:szCs w:val="28"/>
        </w:rPr>
        <w:t>-   Первые шаги Точки Роста в МАОУ Уральская СОШ.</w:t>
      </w:r>
    </w:p>
    <w:p>
      <w:pPr>
        <w:pStyle w:val="ListParagraph"/>
        <w:ind w:left="0" w:firstLine="851"/>
        <w:jc w:val="both"/>
        <w:rPr>
          <w:sz w:val="28"/>
          <w:szCs w:val="28"/>
        </w:rPr>
      </w:pPr>
      <w:r>
        <w:rPr>
          <w:sz w:val="28"/>
          <w:szCs w:val="28"/>
        </w:rPr>
        <w:t xml:space="preserve">Сравнение расписания и программ, заявленных в Информационной справке по приведению площадки естественно-научной и технологической направленностей в соответствие с методическими рекомендациями, показала, что имеются расхождения в названии следующих программ: </w:t>
      </w:r>
    </w:p>
    <w:p>
      <w:pPr>
        <w:pStyle w:val="ListParagraph"/>
        <w:ind w:left="0" w:firstLine="851"/>
        <w:jc w:val="both"/>
        <w:rPr>
          <w:color w:val="FF0000"/>
          <w:sz w:val="28"/>
          <w:szCs w:val="28"/>
        </w:rPr>
      </w:pPr>
      <w:r>
        <w:rPr>
          <w:color w:val="FF0000"/>
          <w:sz w:val="28"/>
          <w:szCs w:val="28"/>
        </w:rPr>
      </w:r>
    </w:p>
    <w:p>
      <w:pPr>
        <w:pStyle w:val="ListParagraph"/>
        <w:ind w:left="0" w:firstLine="851"/>
        <w:jc w:val="both"/>
        <w:rPr/>
      </w:pPr>
      <w:r>
        <w:rPr>
          <w:color w:val="000000"/>
          <w:sz w:val="28"/>
          <w:szCs w:val="28"/>
        </w:rPr>
        <w:t>- реализуются фактически (исходя из расписания) «Юный биолог», «Юный химик», «Юный химик».</w:t>
      </w:r>
    </w:p>
    <w:p>
      <w:pPr>
        <w:pStyle w:val="ListParagraph"/>
        <w:ind w:left="0" w:firstLine="851"/>
        <w:jc w:val="both"/>
        <w:rPr>
          <w:color w:val="FF0000"/>
          <w:sz w:val="28"/>
          <w:szCs w:val="28"/>
        </w:rPr>
      </w:pPr>
      <w:r>
        <w:rPr>
          <w:color w:val="FF0000"/>
          <w:sz w:val="28"/>
          <w:szCs w:val="28"/>
        </w:rPr>
      </w:r>
    </w:p>
    <w:p>
      <w:pPr>
        <w:pStyle w:val="ListParagraph"/>
        <w:ind w:left="0" w:firstLine="851"/>
        <w:jc w:val="both"/>
        <w:rPr/>
      </w:pPr>
      <w:r>
        <w:rPr>
          <w:sz w:val="28"/>
          <w:szCs w:val="28"/>
        </w:rPr>
        <w:t>Вместе с тем, все программы, заявленные в Информационной справке, размещены на сайте МАОУ «Уральская СОШ» в разделе «Центр образования «Точка роста».</w:t>
      </w:r>
    </w:p>
    <w:p>
      <w:pPr>
        <w:pStyle w:val="ListParagraph"/>
        <w:ind w:left="0" w:firstLine="851"/>
        <w:jc w:val="both"/>
        <w:rPr>
          <w:sz w:val="28"/>
          <w:szCs w:val="28"/>
        </w:rPr>
      </w:pPr>
      <w:r>
        <w:rPr>
          <w:sz w:val="28"/>
          <w:szCs w:val="28"/>
        </w:rPr>
        <w:t>5. Изучение количественных и качественных показателей реализации образовательных программ в 1 полугодии 2021 – 2022 показало, что:</w:t>
      </w:r>
    </w:p>
    <w:p>
      <w:pPr>
        <w:pStyle w:val="ListParagraph"/>
        <w:ind w:left="0" w:firstLine="851"/>
        <w:jc w:val="both"/>
        <w:rPr/>
      </w:pPr>
      <w:r>
        <w:rPr>
          <w:sz w:val="28"/>
          <w:szCs w:val="28"/>
        </w:rPr>
        <w:t xml:space="preserve">- </w:t>
      </w:r>
      <w:r>
        <w:rPr>
          <w:rFonts w:cs="Arial" w:ascii="&quot;Times New Roman&quot;" w:hAnsi="&quot;Times New Roman&quot;"/>
          <w:color w:val="000000"/>
          <w:sz w:val="28"/>
          <w:szCs w:val="28"/>
        </w:rPr>
        <w:t>Численность обучающихся, осваивающих 2 и более учебных предмета и (или) курса внеурочной деятельности с использованием базы центра «Точка роста» всего – 45 чел.;</w:t>
      </w:r>
    </w:p>
    <w:p>
      <w:pPr>
        <w:pStyle w:val="ListParagraph"/>
        <w:ind w:left="0" w:firstLine="1418"/>
        <w:jc w:val="both"/>
        <w:rPr/>
      </w:pPr>
      <w:r>
        <w:rPr>
          <w:rFonts w:cs="Arial" w:ascii="&quot;Times New Roman&quot;" w:hAnsi="&quot;Times New Roman&quot;"/>
          <w:color w:val="000000"/>
          <w:sz w:val="28"/>
          <w:szCs w:val="28"/>
        </w:rPr>
        <w:t>- в том числе осваивают в сетевой форме – 0 чел.;</w:t>
      </w:r>
    </w:p>
    <w:p>
      <w:pPr>
        <w:pStyle w:val="ListParagraph"/>
        <w:ind w:left="0" w:firstLine="851"/>
        <w:jc w:val="both"/>
        <w:rPr/>
      </w:pPr>
      <w:r>
        <w:rPr>
          <w:rFonts w:cs="Arial" w:ascii="&quot;Times New Roman&quot;" w:hAnsi="&quot;Times New Roman&quot;"/>
          <w:color w:val="000000"/>
          <w:sz w:val="28"/>
          <w:szCs w:val="28"/>
        </w:rPr>
        <w:t xml:space="preserve">- Численность обучающихся, осваивающих дополнительные общеобразовательные программы с использованием базы центра «Точка роста» - 10  чел.; </w:t>
      </w:r>
    </w:p>
    <w:p>
      <w:pPr>
        <w:pStyle w:val="ListParagraph"/>
        <w:ind w:left="0" w:firstLine="1418"/>
        <w:jc w:val="both"/>
        <w:rPr/>
      </w:pPr>
      <w:r>
        <w:rPr>
          <w:rFonts w:cs="Arial" w:ascii="&quot;Times New Roman&quot;" w:hAnsi="&quot;Times New Roman&quot;"/>
          <w:color w:val="000000"/>
          <w:sz w:val="28"/>
          <w:szCs w:val="28"/>
        </w:rPr>
        <w:t>- в том числе осваивают в сетевой форме – 0</w:t>
      </w:r>
      <w:r>
        <w:rPr>
          <w:rFonts w:cs="Arial" w:ascii="&quot;Times New Roman&quot;" w:hAnsi="&quot;Times New Roman&quot;"/>
          <w:color w:val="FF0000"/>
          <w:sz w:val="28"/>
          <w:szCs w:val="28"/>
        </w:rPr>
        <w:t xml:space="preserve"> </w:t>
      </w:r>
      <w:r>
        <w:rPr>
          <w:rFonts w:cs="Arial" w:ascii="&quot;Times New Roman&quot;" w:hAnsi="&quot;Times New Roman&quot;"/>
          <w:color w:val="000000"/>
          <w:sz w:val="28"/>
          <w:szCs w:val="28"/>
        </w:rPr>
        <w:t>чел.</w:t>
      </w:r>
    </w:p>
    <w:p>
      <w:pPr>
        <w:pStyle w:val="ListParagraph"/>
        <w:ind w:left="0" w:firstLine="851"/>
        <w:jc w:val="both"/>
        <w:rPr>
          <w:sz w:val="28"/>
          <w:szCs w:val="28"/>
        </w:rPr>
      </w:pPr>
      <w:r>
        <w:rPr>
          <w:sz w:val="28"/>
          <w:szCs w:val="28"/>
        </w:rPr>
        <w:t>Данные показатели соответствуют минимальным индикаторам и показателям при реализации основных и дополнительных общеобразовательных программ в региональной сети центров «Точка роста», указанным в Приложении № 4 к приказу министерства образования Оренбургской области от 30.12.2020 № 01-21/1848.</w:t>
      </w:r>
    </w:p>
    <w:p>
      <w:pPr>
        <w:pStyle w:val="ListParagraph"/>
        <w:ind w:left="0" w:firstLine="851"/>
        <w:jc w:val="both"/>
        <w:rPr/>
      </w:pPr>
      <w:r>
        <w:rPr>
          <w:sz w:val="28"/>
          <w:szCs w:val="28"/>
        </w:rPr>
        <w:t xml:space="preserve">6. Анализируя рабочие программы, реализуемые в центре образования «Точка роста», отмечается, что в рабочих программах по химии, биологии, физике  </w:t>
      </w:r>
      <w:r>
        <w:rPr>
          <w:sz w:val="28"/>
          <w:szCs w:val="28"/>
        </w:rPr>
        <w:t xml:space="preserve">имеется </w:t>
      </w:r>
      <w:r>
        <w:rPr>
          <w:sz w:val="28"/>
          <w:szCs w:val="28"/>
        </w:rPr>
        <w:t xml:space="preserve">информация об использовании оборудования центра «Точка роста». </w:t>
      </w:r>
    </w:p>
    <w:p>
      <w:pPr>
        <w:pStyle w:val="ListParagraph"/>
        <w:ind w:left="0" w:firstLine="851"/>
        <w:jc w:val="both"/>
        <w:rPr>
          <w:sz w:val="28"/>
          <w:szCs w:val="28"/>
        </w:rPr>
      </w:pPr>
      <w:r>
        <w:rPr>
          <w:sz w:val="28"/>
          <w:szCs w:val="28"/>
        </w:rPr>
        <w:t>При планировании рабочих программ по указанным выше предметам учителями  использовались методические пособия по реализации образовательных программ естественнонаучной и технологической направленностей с использованием оборудования центра «Точка роста», разработанные Министерством просвещения Российской Федерации.</w:t>
      </w:r>
    </w:p>
    <w:p>
      <w:pPr>
        <w:pStyle w:val="ListParagraph"/>
        <w:ind w:left="0" w:firstLine="851"/>
        <w:jc w:val="both"/>
        <w:rPr/>
      </w:pPr>
      <w:r>
        <w:rPr>
          <w:sz w:val="28"/>
          <w:szCs w:val="28"/>
        </w:rPr>
        <w:t xml:space="preserve">Анализ дополнительных общеобразовательных программ технической и естественно-научной направленностей, программ внеурочной деятельности выявлено: </w:t>
      </w:r>
      <w:r>
        <w:rPr>
          <w:color w:val="FF0000"/>
          <w:sz w:val="28"/>
          <w:szCs w:val="28"/>
        </w:rPr>
        <w:t xml:space="preserve"> </w:t>
      </w:r>
    </w:p>
    <w:p>
      <w:pPr>
        <w:pStyle w:val="ListParagraph"/>
        <w:ind w:left="0" w:firstLine="851"/>
        <w:jc w:val="both"/>
        <w:rPr>
          <w:color w:val="000000"/>
        </w:rPr>
      </w:pPr>
      <w:r>
        <w:rPr>
          <w:color w:val="000000"/>
          <w:sz w:val="28"/>
          <w:szCs w:val="28"/>
        </w:rPr>
        <w:t xml:space="preserve">- </w:t>
      </w:r>
      <w:r>
        <w:rPr>
          <w:color w:val="000000"/>
          <w:sz w:val="28"/>
          <w:szCs w:val="28"/>
        </w:rPr>
        <w:t xml:space="preserve"> </w:t>
      </w:r>
      <w:r>
        <w:rPr>
          <w:color w:val="000000"/>
          <w:sz w:val="28"/>
          <w:szCs w:val="28"/>
        </w:rPr>
        <w:t>во всех программах имеется информация об использовании оборудования центра «Точка роста»</w:t>
      </w:r>
    </w:p>
    <w:p>
      <w:pPr>
        <w:pStyle w:val="ListParagraph"/>
        <w:ind w:left="0" w:hanging="0"/>
        <w:jc w:val="both"/>
        <w:rPr/>
      </w:pPr>
      <w:r>
        <w:rPr>
          <w:color w:val="000000"/>
          <w:sz w:val="28"/>
          <w:szCs w:val="28"/>
        </w:rPr>
        <w:t xml:space="preserve">       </w:t>
      </w:r>
      <w:r>
        <w:rPr>
          <w:color w:val="000000"/>
          <w:sz w:val="28"/>
          <w:szCs w:val="28"/>
        </w:rPr>
        <w:t>Анализ программ  позволяет отследить частоту использования средств обучения и воспитания центра образования «Точка роста» в разрезе каждого пункта инфраструкторного листа.</w:t>
      </w:r>
    </w:p>
    <w:p>
      <w:pPr>
        <w:pStyle w:val="ListParagraph"/>
        <w:ind w:left="0" w:firstLine="851"/>
        <w:jc w:val="both"/>
        <w:rPr>
          <w:sz w:val="28"/>
          <w:szCs w:val="28"/>
        </w:rPr>
      </w:pPr>
      <w:r>
        <w:rPr>
          <w:sz w:val="28"/>
          <w:szCs w:val="28"/>
        </w:rPr>
        <w:t>На основании вышеизложенного рекомендуется:</w:t>
      </w:r>
    </w:p>
    <w:p>
      <w:pPr>
        <w:pStyle w:val="ListParagraph"/>
        <w:ind w:left="0" w:firstLine="851"/>
        <w:jc w:val="both"/>
        <w:rPr>
          <w:sz w:val="28"/>
          <w:szCs w:val="28"/>
        </w:rPr>
      </w:pPr>
      <w:bookmarkStart w:id="1" w:name="OLE_LINK10"/>
      <w:bookmarkStart w:id="2" w:name="OLE_LINK9"/>
      <w:bookmarkEnd w:id="1"/>
      <w:bookmarkEnd w:id="2"/>
      <w:r>
        <w:rPr>
          <w:sz w:val="28"/>
          <w:szCs w:val="28"/>
        </w:rPr>
        <w:t>- рассмотреть на совещании при директоре результаты мониторинга реализации образовательных программ с использованием ресурса центра образование «Точка роста»;</w:t>
      </w:r>
    </w:p>
    <w:p>
      <w:pPr>
        <w:pStyle w:val="ListParagraph"/>
        <w:ind w:left="0" w:firstLine="851"/>
        <w:jc w:val="right"/>
        <w:rPr>
          <w:sz w:val="28"/>
          <w:szCs w:val="28"/>
        </w:rPr>
      </w:pPr>
      <w:r>
        <w:rPr>
          <w:i/>
          <w:sz w:val="24"/>
          <w:szCs w:val="28"/>
        </w:rPr>
        <w:t xml:space="preserve">срок: до 20.01.2022г., </w:t>
      </w:r>
    </w:p>
    <w:p>
      <w:pPr>
        <w:pStyle w:val="ListParagraph"/>
        <w:ind w:left="0" w:firstLine="851"/>
        <w:jc w:val="both"/>
        <w:rPr>
          <w:sz w:val="28"/>
          <w:szCs w:val="28"/>
        </w:rPr>
      </w:pPr>
      <w:bookmarkStart w:id="3" w:name="OLE_LINK101"/>
      <w:bookmarkStart w:id="4" w:name="OLE_LINK91"/>
      <w:bookmarkEnd w:id="3"/>
      <w:bookmarkEnd w:id="4"/>
      <w:r>
        <w:rPr>
          <w:sz w:val="28"/>
          <w:szCs w:val="28"/>
        </w:rPr>
        <w:t>- составить и утвердить план мероприятий по устранению выявленных нарушений;</w:t>
      </w:r>
    </w:p>
    <w:p>
      <w:pPr>
        <w:pStyle w:val="ListParagraph"/>
        <w:ind w:left="0" w:firstLine="851"/>
        <w:jc w:val="right"/>
        <w:rPr>
          <w:i/>
          <w:i/>
          <w:sz w:val="24"/>
          <w:szCs w:val="28"/>
        </w:rPr>
      </w:pPr>
      <w:r>
        <w:rPr>
          <w:i/>
          <w:sz w:val="24"/>
          <w:szCs w:val="28"/>
        </w:rPr>
        <w:t xml:space="preserve">срок: до 19.01.2022 г., </w:t>
      </w:r>
    </w:p>
    <w:p>
      <w:pPr>
        <w:pStyle w:val="ListParagraph"/>
        <w:ind w:left="0" w:firstLine="851"/>
        <w:jc w:val="both"/>
        <w:rPr/>
      </w:pPr>
      <w:r>
        <w:rPr>
          <w:sz w:val="28"/>
          <w:szCs w:val="28"/>
        </w:rPr>
        <w:t xml:space="preserve">- результаты мониторинга (справку) разместить на сайте МАОУ «Уральская СОШ» в разделе «Центр образования «Точка роста», подраздел «Документы», </w:t>
      </w:r>
    </w:p>
    <w:p>
      <w:pPr>
        <w:pStyle w:val="ListParagraph"/>
        <w:ind w:left="0" w:firstLine="851"/>
        <w:jc w:val="right"/>
        <w:rPr>
          <w:i/>
          <w:i/>
          <w:sz w:val="24"/>
          <w:szCs w:val="28"/>
        </w:rPr>
      </w:pPr>
      <w:r>
        <w:rPr>
          <w:i/>
          <w:sz w:val="24"/>
          <w:szCs w:val="28"/>
        </w:rPr>
        <w:t>срок: 15.01.2022г.,</w:t>
      </w:r>
    </w:p>
    <w:p>
      <w:pPr>
        <w:pStyle w:val="ListParagraph"/>
        <w:ind w:left="0" w:firstLine="851"/>
        <w:jc w:val="both"/>
        <w:rPr>
          <w:sz w:val="28"/>
          <w:szCs w:val="28"/>
        </w:rPr>
      </w:pPr>
      <w:r>
        <w:rPr>
          <w:sz w:val="28"/>
          <w:szCs w:val="28"/>
        </w:rPr>
        <w:t>- устранить нарушения, выявленные по результатам муниципального мониторинга;</w:t>
      </w:r>
    </w:p>
    <w:p>
      <w:pPr>
        <w:pStyle w:val="ListParagraph"/>
        <w:ind w:left="0" w:firstLine="851"/>
        <w:jc w:val="right"/>
        <w:rPr>
          <w:i/>
          <w:i/>
          <w:sz w:val="24"/>
          <w:szCs w:val="28"/>
        </w:rPr>
      </w:pPr>
      <w:r>
        <w:rPr>
          <w:i/>
          <w:sz w:val="24"/>
          <w:szCs w:val="28"/>
        </w:rPr>
        <w:t xml:space="preserve">срок: до 28.01.2022г., </w:t>
      </w:r>
    </w:p>
    <w:p>
      <w:pPr>
        <w:pStyle w:val="ListParagraph"/>
        <w:ind w:left="0" w:firstLine="851"/>
        <w:jc w:val="right"/>
        <w:rPr/>
      </w:pPr>
      <w:r>
        <w:rPr/>
      </w:r>
      <w:bookmarkStart w:id="5" w:name="OLE_LINK18"/>
      <w:bookmarkStart w:id="6" w:name="OLE_LINK17"/>
      <w:bookmarkStart w:id="7" w:name="OLE_LINK18"/>
      <w:bookmarkStart w:id="8" w:name="OLE_LINK17"/>
      <w:bookmarkEnd w:id="7"/>
      <w:bookmarkEnd w:id="8"/>
    </w:p>
    <w:p>
      <w:pPr>
        <w:pStyle w:val="ListParagraph"/>
        <w:ind w:left="0" w:firstLine="851"/>
        <w:jc w:val="right"/>
        <w:rPr>
          <w:sz w:val="28"/>
          <w:szCs w:val="28"/>
        </w:rPr>
      </w:pPr>
      <w:r>
        <w:rPr>
          <w:sz w:val="28"/>
          <w:szCs w:val="28"/>
        </w:rPr>
      </w:r>
    </w:p>
    <w:p>
      <w:pPr>
        <w:pStyle w:val="ListParagraph"/>
        <w:ind w:left="0" w:firstLine="851"/>
        <w:jc w:val="right"/>
        <w:rPr>
          <w:sz w:val="28"/>
          <w:szCs w:val="28"/>
        </w:rPr>
      </w:pPr>
      <w:r>
        <w:rPr>
          <w:sz w:val="28"/>
          <w:szCs w:val="28"/>
        </w:rPr>
      </w:r>
    </w:p>
    <w:p>
      <w:pPr>
        <w:pStyle w:val="ListParagraph"/>
        <w:ind w:left="0" w:firstLine="851"/>
        <w:jc w:val="both"/>
        <w:rPr>
          <w:sz w:val="28"/>
          <w:szCs w:val="28"/>
        </w:rPr>
      </w:pPr>
      <w:r>
        <w:rPr>
          <w:sz w:val="28"/>
          <w:szCs w:val="28"/>
        </w:rPr>
      </w:r>
    </w:p>
    <w:tbl>
      <w:tblPr>
        <w:tblStyle w:val="a6"/>
        <w:tblW w:w="10032" w:type="dxa"/>
        <w:jc w:val="left"/>
        <w:tblInd w:w="0" w:type="dxa"/>
        <w:tblCellMar>
          <w:top w:w="0" w:type="dxa"/>
          <w:left w:w="128" w:type="dxa"/>
          <w:bottom w:w="0" w:type="dxa"/>
          <w:right w:w="108" w:type="dxa"/>
        </w:tblCellMar>
        <w:tblLook w:noVBand="1" w:val="04a0" w:noHBand="0" w:lastColumn="0" w:firstColumn="1" w:lastRow="0" w:firstRow="1"/>
      </w:tblPr>
      <w:tblGrid>
        <w:gridCol w:w="4639"/>
        <w:gridCol w:w="2696"/>
        <w:gridCol w:w="2697"/>
      </w:tblGrid>
      <w:tr>
        <w:trPr/>
        <w:tc>
          <w:tcPr>
            <w:tcW w:w="4639" w:type="dxa"/>
            <w:tcBorders>
              <w:top w:val="nil"/>
              <w:left w:val="nil"/>
              <w:bottom w:val="nil"/>
              <w:right w:val="nil"/>
              <w:insideH w:val="nil"/>
              <w:insideV w:val="nil"/>
            </w:tcBorders>
            <w:shd w:fill="auto" w:val="clear"/>
          </w:tcPr>
          <w:p>
            <w:pPr>
              <w:pStyle w:val="Normal"/>
              <w:jc w:val="both"/>
              <w:rPr>
                <w:sz w:val="28"/>
                <w:szCs w:val="28"/>
              </w:rPr>
            </w:pPr>
            <w:r>
              <w:rPr>
                <w:sz w:val="28"/>
                <w:szCs w:val="28"/>
              </w:rPr>
              <w:t xml:space="preserve">Заместитель начальника </w:t>
            </w:r>
          </w:p>
          <w:p>
            <w:pPr>
              <w:pStyle w:val="Normal"/>
              <w:jc w:val="both"/>
              <w:rPr>
                <w:sz w:val="28"/>
                <w:szCs w:val="28"/>
              </w:rPr>
            </w:pPr>
            <w:r>
              <w:rPr>
                <w:sz w:val="28"/>
                <w:szCs w:val="28"/>
              </w:rPr>
              <w:t xml:space="preserve">отдела образования, </w:t>
            </w:r>
          </w:p>
          <w:p>
            <w:pPr>
              <w:pStyle w:val="Normal"/>
              <w:rPr>
                <w:sz w:val="28"/>
                <w:szCs w:val="28"/>
              </w:rPr>
            </w:pPr>
            <w:r>
              <w:rPr>
                <w:sz w:val="28"/>
                <w:szCs w:val="28"/>
              </w:rPr>
              <w:t>муниципальный координатор центров «Точка роста»</w:t>
            </w:r>
          </w:p>
        </w:tc>
        <w:tc>
          <w:tcPr>
            <w:tcW w:w="2696" w:type="dxa"/>
            <w:tcBorders>
              <w:top w:val="nil"/>
              <w:left w:val="nil"/>
              <w:bottom w:val="nil"/>
              <w:right w:val="nil"/>
              <w:insideH w:val="nil"/>
              <w:insideV w:val="nil"/>
            </w:tcBorders>
            <w:shd w:fill="auto" w:val="clear"/>
          </w:tcPr>
          <w:p>
            <w:pPr>
              <w:pStyle w:val="Normal"/>
              <w:jc w:val="both"/>
              <w:rPr>
                <w:sz w:val="28"/>
                <w:szCs w:val="28"/>
              </w:rPr>
            </w:pPr>
            <w:r>
              <w:rPr>
                <w:sz w:val="28"/>
                <w:szCs w:val="28"/>
              </w:rPr>
            </w:r>
          </w:p>
        </w:tc>
        <w:tc>
          <w:tcPr>
            <w:tcW w:w="2697" w:type="dxa"/>
            <w:tcBorders>
              <w:top w:val="nil"/>
              <w:left w:val="nil"/>
              <w:bottom w:val="nil"/>
              <w:right w:val="nil"/>
              <w:insideH w:val="nil"/>
              <w:insideV w:val="nil"/>
            </w:tcBorders>
            <w:shd w:fill="auto" w:val="clear"/>
          </w:tcPr>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r>
          </w:p>
          <w:p>
            <w:pPr>
              <w:pStyle w:val="Normal"/>
              <w:jc w:val="both"/>
              <w:rPr>
                <w:sz w:val="28"/>
                <w:szCs w:val="28"/>
              </w:rPr>
            </w:pPr>
            <w:r>
              <w:rPr>
                <w:sz w:val="28"/>
                <w:szCs w:val="28"/>
              </w:rPr>
              <w:t xml:space="preserve">Л.В. Суханова </w:t>
            </w:r>
          </w:p>
        </w:tc>
      </w:tr>
    </w:tbl>
    <w:p>
      <w:pPr>
        <w:pStyle w:val="Normal"/>
        <w:ind w:firstLine="720"/>
        <w:jc w:val="both"/>
        <w:rPr/>
      </w:pPr>
      <w:r>
        <w:rPr/>
      </w:r>
    </w:p>
    <w:sectPr>
      <w:footerReference w:type="default" r:id="rId8"/>
      <w:type w:val="nextPage"/>
      <w:pgSz w:w="11906" w:h="16838"/>
      <w:pgMar w:left="1418" w:right="567" w:header="0" w:top="567" w:footer="709" w:bottom="766"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roman"/>
    <w:pitch w:val="variable"/>
  </w:font>
  <w:font w:name="Bookman Old Style">
    <w:charset w:val="01"/>
    <w:family w:val="roman"/>
    <w:pitch w:val="variable"/>
  </w:font>
  <w:font w:name="&quot;Times New Roman&quot;">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ind w:right="360" w:hanging="0"/>
      <w:rPr/>
    </w:pPr>
    <w:r>
      <w:rPr/>
      <mc:AlternateContent>
        <mc:Choice Requires="wps">
          <w:drawing>
            <wp:anchor behindDoc="1" distT="0" distB="0" distL="0" distR="0" simplePos="0" locked="0" layoutInCell="1" allowOverlap="1" relativeHeight="7">
              <wp:simplePos x="0" y="0"/>
              <wp:positionH relativeFrom="margin">
                <wp:align>right</wp:align>
              </wp:positionH>
              <wp:positionV relativeFrom="paragraph">
                <wp:posOffset>635</wp:posOffset>
              </wp:positionV>
              <wp:extent cx="66675" cy="146050"/>
              <wp:effectExtent l="0" t="0" r="0" b="0"/>
              <wp:wrapSquare wrapText="largest"/>
              <wp:docPr id="6" name="Врезка1"/>
              <a:graphic xmlns:a="http://schemas.openxmlformats.org/drawingml/2006/main">
                <a:graphicData uri="http://schemas.microsoft.com/office/word/2010/wordprocessingShape">
                  <wps:wsp>
                    <wps:cNvSpPr/>
                    <wps:spPr>
                      <a:xfrm>
                        <a:off x="0" y="0"/>
                        <a:ext cx="65880" cy="145440"/>
                      </a:xfrm>
                      <a:prstGeom prst="rect">
                        <a:avLst/>
                      </a:prstGeom>
                      <a:noFill/>
                      <a:ln>
                        <a:noFill/>
                      </a:ln>
                    </wps:spPr>
                    <wps:style>
                      <a:lnRef idx="0"/>
                      <a:fillRef idx="0"/>
                      <a:effectRef idx="0"/>
                      <a:fontRef idx="minor"/>
                    </wps:style>
                    <wps:txbx>
                      <w:txbxContent>
                        <w:p>
                          <w:pPr>
                            <w:pStyle w:val="Style21"/>
                            <w:rPr/>
                          </w:pPr>
                          <w:r>
                            <w:rPr>
                              <w:rStyle w:val="Pagenumber"/>
                              <w:color w:val="000000"/>
                            </w:rPr>
                            <w:fldChar w:fldCharType="begin"/>
                          </w:r>
                          <w:r>
                            <w:rPr>
                              <w:rStyle w:val="Pagenumber"/>
                            </w:rPr>
                            <w:instrText> PAGE </w:instrText>
                          </w:r>
                          <w:r>
                            <w:rPr>
                              <w:rStyle w:val="Pagenumber"/>
                            </w:rPr>
                            <w:fldChar w:fldCharType="separate"/>
                          </w:r>
                          <w:r>
                            <w:rPr>
                              <w:rStyle w:val="Pagenumber"/>
                            </w:rPr>
                            <w:t>2</w:t>
                          </w:r>
                          <w:r>
                            <w:rPr>
                              <w:rStyle w:val="Pagenumber"/>
                            </w:rPr>
                            <w:fldChar w:fldCharType="end"/>
                          </w:r>
                        </w:p>
                      </w:txbxContent>
                    </wps:txbx>
                    <wps:bodyPr lIns="0" rIns="0" tIns="0" bIns="0">
                      <a:spAutoFit/>
                    </wps:bodyPr>
                  </wps:wsp>
                </a:graphicData>
              </a:graphic>
            </wp:anchor>
          </w:drawing>
        </mc:Choice>
        <mc:Fallback>
          <w:pict>
            <v:rect id="shape_0" ID="Врезка1" stroked="f" style="position:absolute;margin-left:490.8pt;margin-top:0.05pt;width:5.15pt;height:11.4pt;mso-position-horizontal:right;mso-position-horizontal-relative:margin">
              <w10:wrap type="square"/>
              <v:fill o:detectmouseclick="t" on="false"/>
              <v:stroke color="#3465a4" joinstyle="round" endcap="flat"/>
              <v:textbox>
                <w:txbxContent>
                  <w:p>
                    <w:pPr>
                      <w:pStyle w:val="Style21"/>
                      <w:rPr/>
                    </w:pPr>
                    <w:r>
                      <w:rPr>
                        <w:rStyle w:val="Pagenumber"/>
                        <w:color w:val="000000"/>
                      </w:rPr>
                      <w:fldChar w:fldCharType="begin"/>
                    </w:r>
                    <w:r>
                      <w:rPr>
                        <w:rStyle w:val="Pagenumber"/>
                      </w:rPr>
                      <w:instrText> PAGE </w:instrText>
                    </w:r>
                    <w:r>
                      <w:rPr>
                        <w:rStyle w:val="Pagenumber"/>
                      </w:rPr>
                      <w:fldChar w:fldCharType="separate"/>
                    </w:r>
                    <w:r>
                      <w:rPr>
                        <w:rStyle w:val="Pagenumber"/>
                      </w:rPr>
                      <w:t>2</w:t>
                    </w:r>
                    <w:r>
                      <w:rPr>
                        <w:rStyle w:val="Pagenumber"/>
                      </w:rPr>
                      <w:fldChar w:fldCharType="end"/>
                    </w:r>
                  </w:p>
                </w:txbxContent>
              </v:textbox>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ind w:right="360" w:hanging="0"/>
      <w:rPr/>
    </w:pPr>
    <w:r>
      <w:rPr/>
      <mc:AlternateContent>
        <mc:Choice Requires="wps">
          <w:drawing>
            <wp:anchor behindDoc="1" distT="0" distB="0" distL="0" distR="0" simplePos="0" locked="0" layoutInCell="1" allowOverlap="1" relativeHeight="4">
              <wp:simplePos x="0" y="0"/>
              <wp:positionH relativeFrom="margin">
                <wp:align>right</wp:align>
              </wp:positionH>
              <wp:positionV relativeFrom="paragraph">
                <wp:posOffset>635</wp:posOffset>
              </wp:positionV>
              <wp:extent cx="66675" cy="146050"/>
              <wp:effectExtent l="0" t="0" r="0" b="0"/>
              <wp:wrapSquare wrapText="largest"/>
              <wp:docPr id="8" name="Врезка1"/>
              <a:graphic xmlns:a="http://schemas.openxmlformats.org/drawingml/2006/main">
                <a:graphicData uri="http://schemas.microsoft.com/office/word/2010/wordprocessingShape">
                  <wps:wsp>
                    <wps:cNvSpPr/>
                    <wps:spPr>
                      <a:xfrm>
                        <a:off x="0" y="0"/>
                        <a:ext cx="65880" cy="145440"/>
                      </a:xfrm>
                      <a:prstGeom prst="rect">
                        <a:avLst/>
                      </a:prstGeom>
                      <a:noFill/>
                      <a:ln>
                        <a:noFill/>
                      </a:ln>
                    </wps:spPr>
                    <wps:style>
                      <a:lnRef idx="0"/>
                      <a:fillRef idx="0"/>
                      <a:effectRef idx="0"/>
                      <a:fontRef idx="minor"/>
                    </wps:style>
                    <wps:txbx>
                      <w:txbxContent>
                        <w:p>
                          <w:pPr>
                            <w:pStyle w:val="Style21"/>
                            <w:rPr/>
                          </w:pPr>
                          <w:r>
                            <w:rPr>
                              <w:rStyle w:val="Pagenumber"/>
                              <w:color w:val="000000"/>
                            </w:rPr>
                            <w:fldChar w:fldCharType="begin"/>
                          </w:r>
                          <w:r>
                            <w:rPr>
                              <w:rStyle w:val="Pagenumber"/>
                            </w:rPr>
                            <w:instrText> PAGE </w:instrText>
                          </w:r>
                          <w:r>
                            <w:rPr>
                              <w:rStyle w:val="Pagenumber"/>
                            </w:rPr>
                            <w:fldChar w:fldCharType="separate"/>
                          </w:r>
                          <w:r>
                            <w:rPr>
                              <w:rStyle w:val="Pagenumber"/>
                            </w:rPr>
                            <w:t>6</w:t>
                          </w:r>
                          <w:r>
                            <w:rPr>
                              <w:rStyle w:val="Pagenumber"/>
                            </w:rPr>
                            <w:fldChar w:fldCharType="end"/>
                          </w:r>
                        </w:p>
                      </w:txbxContent>
                    </wps:txbx>
                    <wps:bodyPr lIns="0" rIns="0" tIns="0" bIns="0">
                      <a:spAutoFit/>
                    </wps:bodyPr>
                  </wps:wsp>
                </a:graphicData>
              </a:graphic>
            </wp:anchor>
          </w:drawing>
        </mc:Choice>
        <mc:Fallback>
          <w:pict>
            <v:rect id="shape_0" ID="Врезка1" stroked="f" style="position:absolute;margin-left:490.8pt;margin-top:0.05pt;width:5.15pt;height:11.4pt;mso-position-horizontal:right;mso-position-horizontal-relative:margin">
              <w10:wrap type="square"/>
              <v:fill o:detectmouseclick="t" on="false"/>
              <v:stroke color="#3465a4" joinstyle="round" endcap="flat"/>
              <v:textbox>
                <w:txbxContent>
                  <w:p>
                    <w:pPr>
                      <w:pStyle w:val="Style21"/>
                      <w:rPr/>
                    </w:pPr>
                    <w:r>
                      <w:rPr>
                        <w:rStyle w:val="Pagenumber"/>
                        <w:color w:val="000000"/>
                      </w:rPr>
                      <w:fldChar w:fldCharType="begin"/>
                    </w:r>
                    <w:r>
                      <w:rPr>
                        <w:rStyle w:val="Pagenumber"/>
                      </w:rPr>
                      <w:instrText> PAGE </w:instrText>
                    </w:r>
                    <w:r>
                      <w:rPr>
                        <w:rStyle w:val="Pagenumber"/>
                      </w:rPr>
                      <w:fldChar w:fldCharType="separate"/>
                    </w:r>
                    <w:r>
                      <w:rPr>
                        <w:rStyle w:val="Pagenumber"/>
                      </w:rPr>
                      <w:t>6</w:t>
                    </w:r>
                    <w:r>
                      <w:rPr>
                        <w:rStyle w:val="Pagenumber"/>
                      </w:rPr>
                      <w:fldChar w:fldCharType="end"/>
                    </w:r>
                  </w:p>
                </w:txbxContent>
              </v:textbox>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SystemFonts/>
  <w:defaultTabStop w:val="708"/>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3a617c"/>
    <w:pPr>
      <w:widowControl/>
      <w:bidi w:val="0"/>
      <w:jc w:val="left"/>
    </w:pPr>
    <w:rPr>
      <w:rFonts w:ascii="Times New Roman" w:hAnsi="Times New Roman" w:eastAsia="Times New Roman" w:cs="Times New Roman"/>
      <w:color w:val="auto"/>
      <w:kern w:val="0"/>
      <w:sz w:val="20"/>
      <w:szCs w:val="20"/>
      <w:lang w:val="ru-RU" w:eastAsia="ru-RU" w:bidi="ar-SA"/>
    </w:rPr>
  </w:style>
  <w:style w:type="paragraph" w:styleId="1">
    <w:name w:val="Heading 1"/>
    <w:basedOn w:val="Normal"/>
    <w:autoRedefine/>
    <w:qFormat/>
    <w:rsid w:val="0016151e"/>
    <w:pPr>
      <w:keepNext w:val="true"/>
      <w:spacing w:lineRule="atLeast" w:line="288" w:before="0" w:after="150"/>
      <w:jc w:val="both"/>
      <w:outlineLvl w:val="0"/>
    </w:pPr>
    <w:rPr>
      <w:sz w:val="28"/>
      <w:szCs w:val="28"/>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3a617c"/>
    <w:rPr/>
  </w:style>
  <w:style w:type="character" w:styleId="Style13">
    <w:name w:val="Интернет-ссылка"/>
    <w:basedOn w:val="DefaultParagraphFont"/>
    <w:uiPriority w:val="99"/>
    <w:unhideWhenUsed/>
    <w:rsid w:val="00e90061"/>
    <w:rPr>
      <w:color w:val="0000FF"/>
      <w:u w:val="single"/>
    </w:rPr>
  </w:style>
  <w:style w:type="character" w:styleId="Style14" w:customStyle="1">
    <w:name w:val="Текст выноски Знак"/>
    <w:basedOn w:val="DefaultParagraphFont"/>
    <w:link w:val="a9"/>
    <w:semiHidden/>
    <w:qFormat/>
    <w:rsid w:val="00ea5f24"/>
    <w:rPr>
      <w:rFonts w:ascii="Tahoma" w:hAnsi="Tahoma" w:cs="Tahoma"/>
      <w:sz w:val="16"/>
      <w:szCs w:val="16"/>
    </w:rPr>
  </w:style>
  <w:style w:type="character" w:styleId="C2" w:customStyle="1">
    <w:name w:val="c2"/>
    <w:basedOn w:val="DefaultParagraphFont"/>
    <w:qFormat/>
    <w:rsid w:val="00aa7981"/>
    <w:rPr/>
  </w:style>
  <w:style w:type="character" w:styleId="3" w:customStyle="1">
    <w:name w:val="Основной текст с отступом 3 Знак"/>
    <w:basedOn w:val="DefaultParagraphFont"/>
    <w:link w:val="3"/>
    <w:uiPriority w:val="99"/>
    <w:qFormat/>
    <w:rsid w:val="00ab47ca"/>
    <w:rPr>
      <w:sz w:val="16"/>
      <w:szCs w:val="16"/>
    </w:rPr>
  </w:style>
  <w:style w:type="character" w:styleId="ListLabel1">
    <w:name w:val="ListLabel 1"/>
    <w:qFormat/>
    <w:rPr>
      <w:rFonts w:cs="Times New Roman"/>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Times New Roman"/>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Times New Roman"/>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Times New Roman"/>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b/>
    </w:rPr>
  </w:style>
  <w:style w:type="character" w:styleId="ListLabel18">
    <w:name w:val="ListLabel 18"/>
    <w:qFormat/>
    <w:rPr>
      <w:b/>
    </w:rPr>
  </w:style>
  <w:style w:type="character" w:styleId="ListLabel19">
    <w:name w:val="ListLabel 19"/>
    <w:qFormat/>
    <w:rPr>
      <w:b/>
    </w:rPr>
  </w:style>
  <w:style w:type="character" w:styleId="Style15">
    <w:name w:val="Символ нумерации"/>
    <w:qFormat/>
    <w:rPr/>
  </w:style>
  <w:style w:type="paragraph" w:styleId="Style16">
    <w:name w:val="Заголовок"/>
    <w:basedOn w:val="Normal"/>
    <w:next w:val="Style17"/>
    <w:qFormat/>
    <w:pPr>
      <w:keepNext w:val="true"/>
      <w:spacing w:before="240" w:after="120"/>
    </w:pPr>
    <w:rPr>
      <w:rFonts w:ascii="Liberation Sans" w:hAnsi="Liberation Sans" w:eastAsia="WenQuanYi Micro Hei" w:cs="Lohit Devanagari"/>
      <w:sz w:val="28"/>
      <w:szCs w:val="28"/>
    </w:rPr>
  </w:style>
  <w:style w:type="paragraph" w:styleId="Style17">
    <w:name w:val="Body Text"/>
    <w:basedOn w:val="Normal"/>
    <w:rsid w:val="000c460c"/>
    <w:pPr>
      <w:spacing w:before="0" w:after="120"/>
    </w:pPr>
    <w:rPr/>
  </w:style>
  <w:style w:type="paragraph" w:styleId="Style18">
    <w:name w:val="List"/>
    <w:basedOn w:val="Style17"/>
    <w:pPr/>
    <w:rPr>
      <w:rFonts w:cs="Lohit Devanagari"/>
    </w:rPr>
  </w:style>
  <w:style w:type="paragraph" w:styleId="Style19">
    <w:name w:val="Caption"/>
    <w:basedOn w:val="Normal"/>
    <w:qFormat/>
    <w:pPr>
      <w:suppressLineNumbers/>
      <w:spacing w:before="120" w:after="120"/>
    </w:pPr>
    <w:rPr>
      <w:rFonts w:cs="Lohit Devanagari"/>
      <w:i/>
      <w:iCs/>
      <w:sz w:val="24"/>
      <w:szCs w:val="24"/>
    </w:rPr>
  </w:style>
  <w:style w:type="paragraph" w:styleId="Style20">
    <w:name w:val="Указатель"/>
    <w:basedOn w:val="Normal"/>
    <w:qFormat/>
    <w:pPr>
      <w:suppressLineNumbers/>
    </w:pPr>
    <w:rPr>
      <w:rFonts w:cs="Lohit Devanagari"/>
    </w:rPr>
  </w:style>
  <w:style w:type="paragraph" w:styleId="21" w:customStyle="1">
    <w:name w:val="Основной текст с отступом 21"/>
    <w:basedOn w:val="Normal"/>
    <w:qFormat/>
    <w:rsid w:val="003a617c"/>
    <w:pPr>
      <w:spacing w:lineRule="auto" w:line="360"/>
      <w:ind w:firstLine="720"/>
      <w:jc w:val="both"/>
    </w:pPr>
    <w:rPr>
      <w:rFonts w:ascii="Bookman Old Style" w:hAnsi="Bookman Old Style"/>
      <w:sz w:val="24"/>
    </w:rPr>
  </w:style>
  <w:style w:type="paragraph" w:styleId="BodyText2">
    <w:name w:val="Body Text 2"/>
    <w:basedOn w:val="Normal"/>
    <w:autoRedefine/>
    <w:qFormat/>
    <w:rsid w:val="00715996"/>
    <w:pPr>
      <w:suppressAutoHyphens w:val="true"/>
      <w:ind w:firstLine="900"/>
      <w:jc w:val="both"/>
    </w:pPr>
    <w:rPr>
      <w:bCs/>
      <w:sz w:val="28"/>
      <w:szCs w:val="28"/>
    </w:rPr>
  </w:style>
  <w:style w:type="paragraph" w:styleId="Style21">
    <w:name w:val="Footer"/>
    <w:basedOn w:val="Normal"/>
    <w:rsid w:val="003a617c"/>
    <w:pPr>
      <w:tabs>
        <w:tab w:val="center" w:pos="4677" w:leader="none"/>
        <w:tab w:val="right" w:pos="9355" w:leader="none"/>
      </w:tabs>
    </w:pPr>
    <w:rPr/>
  </w:style>
  <w:style w:type="paragraph" w:styleId="11" w:customStyle="1">
    <w:name w:val="Знак Знак Знак Знак1"/>
    <w:basedOn w:val="Normal"/>
    <w:qFormat/>
    <w:rsid w:val="000c460c"/>
    <w:pPr>
      <w:spacing w:beforeAutospacing="1" w:afterAutospacing="1"/>
    </w:pPr>
    <w:rPr>
      <w:rFonts w:ascii="Tahoma" w:hAnsi="Tahoma"/>
      <w:lang w:val="en-US" w:eastAsia="en-US"/>
    </w:rPr>
  </w:style>
  <w:style w:type="paragraph" w:styleId="ListParagraph">
    <w:name w:val="List Paragraph"/>
    <w:basedOn w:val="Normal"/>
    <w:uiPriority w:val="34"/>
    <w:qFormat/>
    <w:rsid w:val="00086c59"/>
    <w:pPr>
      <w:spacing w:before="0" w:after="0"/>
      <w:ind w:left="720" w:hanging="0"/>
      <w:contextualSpacing/>
    </w:pPr>
    <w:rPr/>
  </w:style>
  <w:style w:type="paragraph" w:styleId="BalloonText">
    <w:name w:val="Balloon Text"/>
    <w:basedOn w:val="Normal"/>
    <w:link w:val="aa"/>
    <w:semiHidden/>
    <w:unhideWhenUsed/>
    <w:qFormat/>
    <w:rsid w:val="00ea5f24"/>
    <w:pPr/>
    <w:rPr>
      <w:rFonts w:ascii="Tahoma" w:hAnsi="Tahoma" w:cs="Tahoma"/>
      <w:sz w:val="16"/>
      <w:szCs w:val="16"/>
    </w:rPr>
  </w:style>
  <w:style w:type="paragraph" w:styleId="C1" w:customStyle="1">
    <w:name w:val="c1"/>
    <w:basedOn w:val="Normal"/>
    <w:qFormat/>
    <w:rsid w:val="00aa7981"/>
    <w:pPr>
      <w:spacing w:beforeAutospacing="1" w:afterAutospacing="1"/>
    </w:pPr>
    <w:rPr>
      <w:sz w:val="24"/>
      <w:szCs w:val="24"/>
    </w:rPr>
  </w:style>
  <w:style w:type="paragraph" w:styleId="C34" w:customStyle="1">
    <w:name w:val="c34"/>
    <w:basedOn w:val="Normal"/>
    <w:qFormat/>
    <w:rsid w:val="00314c75"/>
    <w:pPr>
      <w:spacing w:beforeAutospacing="1" w:afterAutospacing="1"/>
    </w:pPr>
    <w:rPr>
      <w:sz w:val="24"/>
      <w:szCs w:val="24"/>
    </w:rPr>
  </w:style>
  <w:style w:type="paragraph" w:styleId="C16" w:customStyle="1">
    <w:name w:val="c16"/>
    <w:basedOn w:val="Normal"/>
    <w:qFormat/>
    <w:rsid w:val="00314c75"/>
    <w:pPr>
      <w:spacing w:beforeAutospacing="1" w:afterAutospacing="1"/>
    </w:pPr>
    <w:rPr>
      <w:sz w:val="24"/>
      <w:szCs w:val="24"/>
    </w:rPr>
  </w:style>
  <w:style w:type="paragraph" w:styleId="BodyTextIndent3">
    <w:name w:val="Body Text Indent 3"/>
    <w:basedOn w:val="Normal"/>
    <w:link w:val="30"/>
    <w:uiPriority w:val="99"/>
    <w:qFormat/>
    <w:rsid w:val="00ab47ca"/>
    <w:pPr>
      <w:spacing w:before="0" w:after="120"/>
      <w:ind w:left="283" w:hanging="0"/>
    </w:pPr>
    <w:rPr>
      <w:sz w:val="16"/>
      <w:szCs w:val="16"/>
    </w:rPr>
  </w:style>
  <w:style w:type="paragraph" w:styleId="NoSpacing">
    <w:name w:val="No Spacing"/>
    <w:uiPriority w:val="1"/>
    <w:qFormat/>
    <w:rsid w:val="00cf0bfd"/>
    <w:pPr>
      <w:widowControl/>
      <w:bidi w:val="0"/>
      <w:jc w:val="left"/>
    </w:pPr>
    <w:rPr>
      <w:rFonts w:ascii="Times New Roman" w:hAnsi="Times New Roman" w:eastAsia="Times New Roman" w:cs="Times New Roman"/>
      <w:color w:val="auto"/>
      <w:kern w:val="0"/>
      <w:sz w:val="24"/>
      <w:szCs w:val="24"/>
      <w:lang w:val="ru-RU" w:eastAsia="ru-RU" w:bidi="ar-SA"/>
    </w:rPr>
  </w:style>
  <w:style w:type="paragraph" w:styleId="Style22">
    <w:name w:val="Содержимое врезки"/>
    <w:basedOn w:val="Normal"/>
    <w:qFormat/>
    <w:pPr/>
    <w:rPr/>
  </w:style>
  <w:style w:type="paragraph" w:styleId="Style23">
    <w:name w:val="Содержимое таблицы"/>
    <w:basedOn w:val="Normal"/>
    <w:qFormat/>
    <w:pPr>
      <w:suppressLineNumbers/>
    </w:pPr>
    <w:rPr/>
  </w:style>
  <w:style w:type="paragraph" w:styleId="Style24">
    <w:name w:val="Заголовок таблицы"/>
    <w:basedOn w:val="Style23"/>
    <w:qFormat/>
    <w:pPr>
      <w:suppressLineNumbers/>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6">
    <w:name w:val="Table Grid"/>
    <w:basedOn w:val="a1"/>
    <w:rsid w:val="000c460c"/>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56FD3-7E1D-4D6A-B2DC-6F0C71680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4807</TotalTime>
  <Application>LibreOffice/6.0.6.2$Linux_x86 LibreOffice_project/00m0$Build-2</Application>
  <Pages>6</Pages>
  <Words>1033</Words>
  <Characters>7291</Characters>
  <CharactersWithSpaces>8353</CharactersWithSpaces>
  <Paragraphs>114</Paragraphs>
  <Company>Reanimator Extreme Edition</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2018-12-29T04:24:00Z</dcterms:created>
  <dc:creator>1</dc:creator>
  <dc:description/>
  <dc:language>ru-RU</dc:language>
  <cp:lastModifiedBy/>
  <cp:lastPrinted>2021-11-24T16:41:00Z</cp:lastPrinted>
  <dcterms:modified xsi:type="dcterms:W3CDTF">2022-01-14T14:47:21Z</dcterms:modified>
  <cp:revision>72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